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427769FE"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A11C66">
        <w:rPr>
          <w:rFonts w:ascii="Arial" w:hAnsi="Arial" w:cs="Arial"/>
          <w:b/>
          <w:bCs/>
          <w:kern w:val="0"/>
          <w:sz w:val="24"/>
        </w:rPr>
        <w:t>2</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F54ED3">
        <w:rPr>
          <w:rFonts w:ascii="Arial" w:hAnsi="Arial" w:cs="Arial"/>
          <w:b/>
          <w:bCs/>
          <w:kern w:val="0"/>
          <w:sz w:val="24"/>
          <w:lang w:val="en-GB"/>
        </w:rPr>
        <w:t>0</w:t>
      </w:r>
      <w:r w:rsidR="004B6188">
        <w:rPr>
          <w:rFonts w:ascii="Arial" w:hAnsi="Arial" w:cs="Arial"/>
          <w:b/>
          <w:bCs/>
          <w:kern w:val="0"/>
          <w:sz w:val="24"/>
          <w:lang w:val="en-GB"/>
        </w:rPr>
        <w:t>9247</w:t>
      </w:r>
      <w:bookmarkStart w:id="0" w:name="_GoBack"/>
      <w:bookmarkEnd w:id="0"/>
    </w:p>
    <w:p w14:paraId="13013E51" w14:textId="76E60FEC"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A11C66">
        <w:rPr>
          <w:rFonts w:ascii="Arial" w:hAnsi="Arial" w:cs="Arial"/>
          <w:b/>
          <w:bCs/>
          <w:kern w:val="0"/>
          <w:sz w:val="24"/>
          <w:lang w:val="en-GB"/>
        </w:rPr>
        <w:t>2</w:t>
      </w:r>
      <w:r w:rsidR="00A11C66">
        <w:rPr>
          <w:rFonts w:ascii="Arial" w:hAnsi="Arial" w:cs="Arial"/>
          <w:b/>
          <w:bCs/>
          <w:kern w:val="0"/>
          <w:sz w:val="24"/>
          <w:vertAlign w:val="superscript"/>
        </w:rPr>
        <w:t>nd</w:t>
      </w:r>
      <w:r>
        <w:rPr>
          <w:rFonts w:ascii="Arial" w:hAnsi="Arial" w:cs="Arial"/>
          <w:b/>
          <w:bCs/>
          <w:kern w:val="0"/>
          <w:sz w:val="24"/>
          <w:lang w:val="en-GB"/>
        </w:rPr>
        <w:t xml:space="preserve"> – </w:t>
      </w:r>
      <w:r w:rsidR="00A11C66">
        <w:rPr>
          <w:rFonts w:ascii="Arial" w:hAnsi="Arial" w:cs="Arial"/>
          <w:b/>
          <w:bCs/>
          <w:kern w:val="0"/>
          <w:sz w:val="24"/>
        </w:rPr>
        <w:t>13</w:t>
      </w:r>
      <w:r>
        <w:rPr>
          <w:rFonts w:ascii="Arial" w:hAnsi="Arial" w:cs="Arial"/>
          <w:b/>
          <w:bCs/>
          <w:kern w:val="0"/>
          <w:sz w:val="24"/>
          <w:vertAlign w:val="superscript"/>
        </w:rPr>
        <w:t>th</w:t>
      </w:r>
      <w:r>
        <w:rPr>
          <w:rFonts w:ascii="Arial" w:hAnsi="Arial" w:cs="Arial"/>
          <w:b/>
          <w:bCs/>
          <w:kern w:val="0"/>
          <w:sz w:val="24"/>
          <w:lang w:val="en-GB"/>
        </w:rPr>
        <w:t xml:space="preserve"> </w:t>
      </w:r>
      <w:r w:rsidR="00A11C66">
        <w:rPr>
          <w:rFonts w:ascii="Arial" w:hAnsi="Arial" w:cs="Arial"/>
          <w:b/>
          <w:bCs/>
          <w:kern w:val="0"/>
          <w:sz w:val="24"/>
        </w:rPr>
        <w:t>November</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2C6EE72E"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7532B">
        <w:rPr>
          <w:rFonts w:ascii="Arial" w:hAnsi="Arial" w:cs="Arial"/>
          <w:b/>
          <w:bCs/>
          <w:snapToGrid w:val="0"/>
          <w:kern w:val="0"/>
          <w:sz w:val="24"/>
        </w:rPr>
        <w:t>Discussion on eDRX for</w:t>
      </w:r>
      <w:r w:rsidR="004C6313">
        <w:rPr>
          <w:rFonts w:ascii="Arial" w:hAnsi="Arial" w:cs="Arial"/>
          <w:b/>
          <w:bCs/>
          <w:snapToGrid w:val="0"/>
          <w:kern w:val="0"/>
          <w:sz w:val="24"/>
        </w:rPr>
        <w:t xml:space="preserve"> REDCAP UE</w:t>
      </w:r>
    </w:p>
    <w:p w14:paraId="774FE3B4" w14:textId="5641D8E6"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F54ED3">
        <w:rPr>
          <w:rFonts w:ascii="Arial" w:hAnsi="Arial" w:cs="Arial"/>
          <w:b/>
          <w:bCs/>
          <w:snapToGrid w:val="0"/>
          <w:kern w:val="0"/>
          <w:sz w:val="24"/>
        </w:rPr>
        <w:t>8.12.3</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56BA165" w14:textId="646C6C57" w:rsidR="00371DAE" w:rsidRDefault="00264C0D" w:rsidP="00A07A65">
      <w:pPr>
        <w:spacing w:before="120" w:after="0"/>
      </w:pPr>
      <w:r>
        <w:t>During last RAN2 meeting, companies discussed UE power saving mechanism for Redcap</w:t>
      </w:r>
      <w:r w:rsidR="00EB1A48">
        <w:t xml:space="preserve"> UE. Regarding eDRX for RRC_IDLE and RRC_INACTIVE</w:t>
      </w:r>
      <w:r>
        <w:t>, the following agreements are made</w:t>
      </w:r>
      <w:r w:rsidR="00A07A65">
        <w:t>:</w:t>
      </w:r>
    </w:p>
    <w:p w14:paraId="158A20F1" w14:textId="77777777" w:rsidR="00FD3934" w:rsidRPr="00A4664E" w:rsidRDefault="00FD3934" w:rsidP="00A4664E">
      <w:pPr>
        <w:pStyle w:val="Doc-text2"/>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Agreements:</w:t>
      </w:r>
    </w:p>
    <w:p w14:paraId="6F1E821C" w14:textId="77777777" w:rsidR="00FD3934" w:rsidRPr="00A4664E" w:rsidRDefault="00FD3934" w:rsidP="00A4664E">
      <w:pPr>
        <w:pStyle w:val="Doc-text2"/>
        <w:numPr>
          <w:ilvl w:val="0"/>
          <w:numId w:val="17"/>
        </w:numPr>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RAN2 study eDRX mechanism for both RRC_IDLE and RRC_INACTIVE in this SI. ‎</w:t>
      </w:r>
    </w:p>
    <w:p w14:paraId="00724DBC" w14:textId="77777777" w:rsidR="00FD3934" w:rsidRPr="00A4664E" w:rsidRDefault="00FD3934" w:rsidP="00A4664E">
      <w:pPr>
        <w:pStyle w:val="Doc-text2"/>
        <w:numPr>
          <w:ilvl w:val="0"/>
          <w:numId w:val="17"/>
        </w:numPr>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 xml:space="preserve">For RRC_INACTIVE, the DRX cycle is extended to 10.24s as baseline. </w:t>
      </w:r>
    </w:p>
    <w:p w14:paraId="7905AB5D" w14:textId="77777777" w:rsidR="00A4664E" w:rsidRPr="00A4664E" w:rsidRDefault="00A4664E" w:rsidP="00A4664E">
      <w:pPr>
        <w:pStyle w:val="Doc-text2"/>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Agreements via email - from offline 111:</w:t>
      </w:r>
    </w:p>
    <w:p w14:paraId="698C0279" w14:textId="77777777" w:rsidR="00A4664E" w:rsidRPr="00A4664E" w:rsidRDefault="00A4664E" w:rsidP="00A4664E">
      <w:pPr>
        <w:pStyle w:val="Doc-text2"/>
        <w:numPr>
          <w:ilvl w:val="0"/>
          <w:numId w:val="18"/>
        </w:numPr>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 xml:space="preserve">For RRC_IDLE, the DRX cycle is at least extended to 10.24s. FFS on further extension ‎beyond 10.24s.  </w:t>
      </w:r>
    </w:p>
    <w:p w14:paraId="4BB106C7" w14:textId="480887A8" w:rsidR="00A4664E" w:rsidRPr="00A4664E" w:rsidRDefault="00A4664E" w:rsidP="00A4664E">
      <w:pPr>
        <w:pStyle w:val="Doc-text2"/>
        <w:numPr>
          <w:ilvl w:val="0"/>
          <w:numId w:val="18"/>
        </w:numPr>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 xml:space="preserve">For RRC_IDLE and/or RRC_INACTIVE, if the NR DRX cycle range is extended beyond 10.24s, the LTE ‎eDRX mechanism beyond 10.24s (e.g., PTW, PH, etc.) is used as baseline when NR eDRX cycle is configured beyond 10.24s. </w:t>
      </w:r>
    </w:p>
    <w:p w14:paraId="615DDCAE" w14:textId="77777777" w:rsidR="00A4664E" w:rsidRPr="00A4664E" w:rsidRDefault="00A4664E" w:rsidP="00A4664E">
      <w:pPr>
        <w:pStyle w:val="Doc-text2"/>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FFS:</w:t>
      </w:r>
    </w:p>
    <w:p w14:paraId="68E7D7A0" w14:textId="77777777" w:rsidR="00A4664E" w:rsidRPr="00A4664E" w:rsidRDefault="00A4664E" w:rsidP="00A4664E">
      <w:pPr>
        <w:pStyle w:val="Doc-text2"/>
        <w:numPr>
          <w:ilvl w:val="0"/>
          <w:numId w:val="19"/>
        </w:numPr>
        <w:pBdr>
          <w:top w:val="single" w:sz="4" w:space="1" w:color="auto"/>
          <w:left w:val="single" w:sz="4" w:space="4" w:color="auto"/>
          <w:bottom w:val="single" w:sz="4" w:space="1" w:color="auto"/>
          <w:right w:val="single" w:sz="4" w:space="4" w:color="auto"/>
        </w:pBdr>
        <w:snapToGrid w:val="0"/>
        <w:spacing w:after="60"/>
        <w:rPr>
          <w:sz w:val="18"/>
        </w:rPr>
      </w:pPr>
      <w:r w:rsidRPr="00A4664E">
        <w:rPr>
          <w:sz w:val="18"/>
        </w:rPr>
        <w:t>For RRC_IDLE and/or RRC_INACTIVE, FFS on baseline mechanism when the configured NR eDRX cycle is less or equal to 10.24s</w:t>
      </w:r>
    </w:p>
    <w:p w14:paraId="34F42A5E" w14:textId="0362641B" w:rsidR="00E84692" w:rsidRDefault="009625EE" w:rsidP="00AB7A48">
      <w:pPr>
        <w:spacing w:before="120" w:after="0"/>
      </w:pPr>
      <w:r>
        <w:t>During RAN2 email discussion[1], companies further discuss</w:t>
      </w:r>
      <w:r w:rsidR="007F3F06">
        <w:t>ed the remaining issue of eDRX, however, companies views show different views on whether to support eDRX cycle &gt;10.24s for RRC_INACTIVE. I</w:t>
      </w:r>
      <w:r>
        <w:t>n this contribution, we further discussed th</w:t>
      </w:r>
      <w:r w:rsidR="007F3F06">
        <w:t>is issue</w:t>
      </w:r>
      <w:r>
        <w:t xml:space="preserve"> and </w:t>
      </w:r>
      <w:r w:rsidR="007F3F06">
        <w:t>shared</w:t>
      </w:r>
      <w:r>
        <w:t xml:space="preserve"> our views. </w:t>
      </w:r>
    </w:p>
    <w:p w14:paraId="048612DC" w14:textId="0E734971" w:rsidR="0085666F" w:rsidRPr="0085666F" w:rsidRDefault="00550EC5" w:rsidP="0085666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Consideration on eDRX</w:t>
      </w:r>
    </w:p>
    <w:p w14:paraId="718CBB63" w14:textId="6B451849" w:rsidR="00264C0D" w:rsidRDefault="009625EE">
      <w:r>
        <w:t xml:space="preserve">One topic in email discussion [1] is whether to support </w:t>
      </w:r>
      <w:r w:rsidR="00AC6FCD">
        <w:t>eDRX cycle beyond 10.24s for RRC_IDLE and</w:t>
      </w:r>
      <w:r w:rsidR="00D50136">
        <w:t xml:space="preserve"> RRC_INACTIVE UEs. Based on companies feedba</w:t>
      </w:r>
      <w:r w:rsidR="002A5262">
        <w:t>ck</w:t>
      </w:r>
      <w:r w:rsidR="00D50136">
        <w:t xml:space="preserve">, </w:t>
      </w:r>
      <w:r w:rsidR="00BA10B7">
        <w:t xml:space="preserve">for RRC_IDLE mode, </w:t>
      </w:r>
      <w:r w:rsidR="00D50136">
        <w:t xml:space="preserve">most companies </w:t>
      </w:r>
      <w:r w:rsidR="00BA10B7">
        <w:t>agree that supporting eDRX cycle beyond</w:t>
      </w:r>
      <w:r w:rsidR="00D50136">
        <w:t xml:space="preserve"> </w:t>
      </w:r>
      <w:r w:rsidR="00BA10B7">
        <w:t xml:space="preserve">10.24s is necessary </w:t>
      </w:r>
      <w:r w:rsidR="00D50136">
        <w:t>if the we aim to support years</w:t>
      </w:r>
      <w:r w:rsidR="00A34417">
        <w:t xml:space="preserve"> battery life</w:t>
      </w:r>
      <w:r w:rsidR="00912682">
        <w:t xml:space="preserve"> for Redcap</w:t>
      </w:r>
      <w:r w:rsidR="00A34417">
        <w:t>.</w:t>
      </w:r>
      <w:r w:rsidR="00912682">
        <w:t xml:space="preserve"> </w:t>
      </w:r>
      <w:r w:rsidR="007F2356">
        <w:t>While for RRC_INACTIVE UEs</w:t>
      </w:r>
      <w:r w:rsidR="00912682">
        <w:t>, companies views are divergent. Some companies commented the benefit of supporting longer eDR</w:t>
      </w:r>
      <w:r w:rsidR="00CF3A0A">
        <w:t>X cycle for RRC_INACTIVE is that,</w:t>
      </w:r>
      <w:r w:rsidR="00912682">
        <w:t xml:space="preserve"> UE can take ad</w:t>
      </w:r>
      <w:r w:rsidR="00A3131D">
        <w:t>vantage of power saving once Redcap device supports</w:t>
      </w:r>
      <w:r w:rsidR="00912682">
        <w:t xml:space="preserve"> small </w:t>
      </w:r>
      <w:r w:rsidR="00CF3A0A">
        <w:t xml:space="preserve">data </w:t>
      </w:r>
      <w:r w:rsidR="00ED03D0">
        <w:t xml:space="preserve">transmission. </w:t>
      </w:r>
      <w:r w:rsidR="000C69E1">
        <w:t>However, f</w:t>
      </w:r>
      <w:r w:rsidR="00ED03D0">
        <w:t xml:space="preserve">or Industrial </w:t>
      </w:r>
      <w:r w:rsidR="000B3B62">
        <w:t>wireless sensors</w:t>
      </w:r>
      <w:r w:rsidR="0019368F">
        <w:t xml:space="preserve"> case</w:t>
      </w:r>
      <w:r w:rsidR="00D567EE">
        <w:t>, although the UL traffic may be heavy compare to DL</w:t>
      </w:r>
      <w:r w:rsidR="00996102">
        <w:t xml:space="preserve">, </w:t>
      </w:r>
      <w:r w:rsidR="00D567EE">
        <w:t xml:space="preserve">based on </w:t>
      </w:r>
      <w:r w:rsidR="000C69E1">
        <w:t xml:space="preserve">the requirement, the </w:t>
      </w:r>
      <w:r w:rsidR="00996102">
        <w:t xml:space="preserve">end to end latency </w:t>
      </w:r>
      <w:r w:rsidR="000C69E1">
        <w:t xml:space="preserve">is required to be </w:t>
      </w:r>
      <w:r w:rsidR="00996102">
        <w:t xml:space="preserve">less than 100ms, thus </w:t>
      </w:r>
      <w:r w:rsidR="000C69E1">
        <w:t xml:space="preserve">we are not sure whether it can </w:t>
      </w:r>
      <w:r w:rsidR="006F72C3">
        <w:t>bear</w:t>
      </w:r>
      <w:r w:rsidR="000C69E1">
        <w:t xml:space="preserve"> long paging latency</w:t>
      </w:r>
      <w:r w:rsidR="009906F9">
        <w:t xml:space="preserve"> for DL</w:t>
      </w:r>
      <w:r w:rsidR="000C69E1">
        <w:t xml:space="preserve">. </w:t>
      </w:r>
      <w:r w:rsidR="00996102">
        <w:t xml:space="preserve"> </w:t>
      </w:r>
      <w:r w:rsidR="000B3B62">
        <w:t xml:space="preserve"> </w:t>
      </w:r>
    </w:p>
    <w:p w14:paraId="34C7DCC6" w14:textId="7EBFAE86" w:rsidR="00A3131D" w:rsidRPr="00D72F7B" w:rsidRDefault="00A3131D" w:rsidP="00A3131D">
      <w:pPr>
        <w:ind w:left="1276" w:hanging="1276"/>
        <w:rPr>
          <w:b/>
        </w:rPr>
      </w:pPr>
      <w:r>
        <w:rPr>
          <w:b/>
        </w:rPr>
        <w:t>Observation</w:t>
      </w:r>
      <w:r>
        <w:rPr>
          <w:rFonts w:hint="eastAsia"/>
          <w:b/>
        </w:rPr>
        <w:t xml:space="preserve"> </w:t>
      </w:r>
      <w:r>
        <w:rPr>
          <w:b/>
        </w:rPr>
        <w:t>1</w:t>
      </w:r>
      <w:r>
        <w:rPr>
          <w:rFonts w:hint="eastAsia"/>
          <w:b/>
        </w:rPr>
        <w:t xml:space="preserve">:  </w:t>
      </w:r>
      <w:r w:rsidR="0019368F">
        <w:rPr>
          <w:b/>
        </w:rPr>
        <w:t>T</w:t>
      </w:r>
      <w:r>
        <w:rPr>
          <w:b/>
        </w:rPr>
        <w:t xml:space="preserve">he use case of supporting eDRX </w:t>
      </w:r>
      <w:r>
        <w:rPr>
          <w:rFonts w:hint="eastAsia"/>
          <w:b/>
        </w:rPr>
        <w:t>cycle</w:t>
      </w:r>
      <w:r>
        <w:rPr>
          <w:b/>
        </w:rPr>
        <w:t>&gt; 10.24s for RRC_INACTIVE Redcap is unclear.</w:t>
      </w:r>
    </w:p>
    <w:p w14:paraId="568CA7EB" w14:textId="244CD7CD" w:rsidR="00A3131D" w:rsidRDefault="00A3131D" w:rsidP="00A3131D">
      <w:r>
        <w:t>On the other hand, in LTE, the maximum eDRX cycle for RRC_INACTIVE is 10.24s. If we aim to support eDRX cycle &gt;10.24s for Redcap RRC_INACTIVE UEs, then the following issues are expected to be solved:</w:t>
      </w:r>
    </w:p>
    <w:p w14:paraId="40C910C0" w14:textId="36EFDB3D" w:rsidR="00A3131D" w:rsidRPr="0044310F" w:rsidRDefault="00A3131D" w:rsidP="00A3131D">
      <w:pPr>
        <w:pStyle w:val="afffffff3"/>
        <w:numPr>
          <w:ilvl w:val="0"/>
          <w:numId w:val="20"/>
        </w:numPr>
        <w:ind w:left="284" w:hanging="284"/>
        <w:rPr>
          <w:b/>
          <w:u w:val="single"/>
        </w:rPr>
      </w:pPr>
      <w:r w:rsidRPr="0044310F">
        <w:rPr>
          <w:b/>
          <w:u w:val="single"/>
        </w:rPr>
        <w:t xml:space="preserve">Issue 1: </w:t>
      </w:r>
      <w:r w:rsidR="00EC7245" w:rsidRPr="0044310F">
        <w:rPr>
          <w:b/>
          <w:u w:val="single"/>
        </w:rPr>
        <w:t xml:space="preserve">Impact on </w:t>
      </w:r>
      <w:r w:rsidRPr="0044310F">
        <w:rPr>
          <w:b/>
          <w:u w:val="single"/>
        </w:rPr>
        <w:t xml:space="preserve">NAS retransmission timer. </w:t>
      </w:r>
    </w:p>
    <w:p w14:paraId="2C1405F8" w14:textId="0D490546" w:rsidR="00377404" w:rsidRDefault="00EC7245" w:rsidP="00A3131D">
      <w:r>
        <w:lastRenderedPageBreak/>
        <w:t xml:space="preserve">As specifiied in 5GS for Rel-15, the smallest NAS retransmission timer is 6ms, and the maximum retrasnmission times if 4. If eDRX cycle is larger than </w:t>
      </w:r>
      <w:r w:rsidR="00377404">
        <w:t xml:space="preserve">30s, then it may cause NAS transmission failure. </w:t>
      </w:r>
    </w:p>
    <w:p w14:paraId="178C7BF6" w14:textId="79F6426B" w:rsidR="00837AF5" w:rsidRDefault="00377404" w:rsidP="00A3131D">
      <w:r>
        <w:t xml:space="preserve">To solve this problem, AMF should adjust NAS procedure based on UE’s RRC </w:t>
      </w:r>
      <w:r w:rsidR="0085646C">
        <w:t>state (e.g. retransmit NAS signalling according to )</w:t>
      </w:r>
      <w:r>
        <w:t xml:space="preserve">. Although </w:t>
      </w:r>
      <w:r w:rsidR="0085646C">
        <w:t>based on current NG-C signalling, AMF is aware of UE’s RRC state, whether core-network can adjust NAS timer for Redcap UEs is not within RAN2’s scope, thus more effort in CT1 and SA2 are needed.</w:t>
      </w:r>
      <w:r w:rsidR="00A3131D">
        <w:t xml:space="preserve"> </w:t>
      </w:r>
    </w:p>
    <w:p w14:paraId="61C18521" w14:textId="01DFFAA4" w:rsidR="00D87482" w:rsidRPr="0044310F" w:rsidRDefault="00D87482" w:rsidP="00D87482">
      <w:pPr>
        <w:pStyle w:val="afffffff3"/>
        <w:numPr>
          <w:ilvl w:val="0"/>
          <w:numId w:val="20"/>
        </w:numPr>
        <w:ind w:left="284" w:hanging="284"/>
        <w:rPr>
          <w:b/>
          <w:u w:val="single"/>
        </w:rPr>
      </w:pPr>
      <w:r w:rsidRPr="0044310F">
        <w:rPr>
          <w:b/>
          <w:u w:val="single"/>
        </w:rPr>
        <w:t>Issue 2: UE behaivour upon RRC_INACTIVE eDRX cycle.</w:t>
      </w:r>
    </w:p>
    <w:p w14:paraId="5D2F8A67" w14:textId="55BF15F9" w:rsidR="00D87482" w:rsidRDefault="00D87482" w:rsidP="00A3131D">
      <w:r>
        <w:t xml:space="preserve">In LTE, </w:t>
      </w:r>
      <w:r w:rsidR="0053722B">
        <w:t xml:space="preserve">UE only has one eDRX cycle (after NAS coordination with core-network) used to calculate PTW/PH. </w:t>
      </w:r>
      <w:r w:rsidR="00EC621C">
        <w:t>Regarding</w:t>
      </w:r>
      <w:r w:rsidR="0053722B">
        <w:t xml:space="preserve"> “eDRX cycle” for RRC_INACTIVE UEs, it is indicated via “ran-PagingCycle-v1610” field in RRCConnectionRelease message</w:t>
      </w:r>
      <w:r w:rsidR="00EC621C">
        <w:t xml:space="preserve">. Since the UE is required to monitor both RAN paging and CN paging in RRC_INACTIVE state, so once IDLE eDRX cycle &gt;10.24s is configured, the UE is required to monitor both RAN paging and CN paging within PTW, and monitor RAN paging outside PTW. </w:t>
      </w:r>
    </w:p>
    <w:p w14:paraId="5B9C02AC" w14:textId="6075873B" w:rsidR="00916BEB" w:rsidRDefault="008413F0" w:rsidP="00A3131D">
      <w:r>
        <w:t xml:space="preserve">However, </w:t>
      </w:r>
      <w:r w:rsidR="00916BEB">
        <w:t xml:space="preserve">for Redcap, </w:t>
      </w:r>
      <w:r>
        <w:t xml:space="preserve">if eDRX cycle&gt;10.24s is supported for RRC_INACTIVE UE, </w:t>
      </w:r>
      <w:r w:rsidR="00916BEB">
        <w:t>the first thing we need to discuss is whether this Inactive eDRX cycle is specified as extended RAN paging cycle (as in LTE), or it is independent from RAN paging cycle?</w:t>
      </w:r>
    </w:p>
    <w:p w14:paraId="0AB5C604" w14:textId="60707286" w:rsidR="00916BEB" w:rsidRPr="00916BEB" w:rsidRDefault="00916BEB" w:rsidP="00916BEB">
      <w:pPr>
        <w:ind w:left="1276" w:hanging="1276"/>
        <w:rPr>
          <w:b/>
        </w:rPr>
      </w:pPr>
      <w:r>
        <w:rPr>
          <w:b/>
        </w:rPr>
        <w:t>Observation</w:t>
      </w:r>
      <w:r>
        <w:rPr>
          <w:rFonts w:hint="eastAsia"/>
          <w:b/>
        </w:rPr>
        <w:t xml:space="preserve"> </w:t>
      </w:r>
      <w:r>
        <w:rPr>
          <w:b/>
        </w:rPr>
        <w:t>2</w:t>
      </w:r>
      <w:r>
        <w:rPr>
          <w:rFonts w:hint="eastAsia"/>
          <w:b/>
        </w:rPr>
        <w:t xml:space="preserve">:  </w:t>
      </w:r>
      <w:r>
        <w:rPr>
          <w:b/>
        </w:rPr>
        <w:t>In LTE, the eDRX cycle for RRC_INACTIVE is specified as extended RAN paging cycle. For Redcap UE, once eDRX &gt;10.24s is supported for RRC_INACTIVE, we need to first discuss the relationship between Inactive eDRX cycle and RAN paging cycle.</w:t>
      </w:r>
    </w:p>
    <w:p w14:paraId="6CF45548" w14:textId="2F2F2DFA" w:rsidR="000F48E1" w:rsidRDefault="00916BEB" w:rsidP="00A3131D">
      <w:r>
        <w:t>B</w:t>
      </w:r>
      <w:r w:rsidR="00177B58">
        <w:t>ased on t</w:t>
      </w:r>
      <w:r>
        <w:t>he agreement made last meeting:</w:t>
      </w:r>
      <w:r w:rsidR="00177B58">
        <w:t xml:space="preserve"> </w:t>
      </w:r>
      <w:r>
        <w:t>“</w:t>
      </w:r>
      <w:r w:rsidRPr="00916BEB">
        <w:t>if the NR DRX cycle range is extended beyond 10.24s, the LTE ‎eDRX mechanism beyond 10.24s (e.g., PTW, PH, etc.) is used as baseline when NR eDRX cycle is configured beyond 10.24s.</w:t>
      </w:r>
      <w:r>
        <w:t>”</w:t>
      </w:r>
      <w:r w:rsidR="003E671C">
        <w:t xml:space="preserve">. </w:t>
      </w:r>
      <w:r>
        <w:t xml:space="preserve">This implies that PTW and PH will be </w:t>
      </w:r>
      <w:r w:rsidR="000F48E1">
        <w:t>used</w:t>
      </w:r>
      <w:r>
        <w:t xml:space="preserve"> once INACTIVE eDRX cycle is </w:t>
      </w:r>
      <w:r w:rsidR="000F48E1">
        <w:t xml:space="preserve">configured </w:t>
      </w:r>
      <w:r>
        <w:t xml:space="preserve">larger than 10.24s. </w:t>
      </w:r>
      <w:r w:rsidR="000F48E1">
        <w:t xml:space="preserve">Therefore, it makes sense to decouple Inactive eDRX cycle with RAN paging cycle, e.g. UE minitors RAN paging cycle within Inactive PTW, and does not monitor RAN paging outside Inactive PTW. </w:t>
      </w:r>
    </w:p>
    <w:p w14:paraId="088A0AD2" w14:textId="599F2890" w:rsidR="006238E5" w:rsidRDefault="000F48E1" w:rsidP="00A3131D">
      <w:r>
        <w:t>On the other hand</w:t>
      </w:r>
      <w:r w:rsidR="00916BEB">
        <w:t xml:space="preserve">, </w:t>
      </w:r>
      <w:r>
        <w:t xml:space="preserve">considering RRC_INACTIVE UE is required to monitor both RAN and CN pagings, and in theory </w:t>
      </w:r>
      <w:r w:rsidR="00916BEB">
        <w:t>the</w:t>
      </w:r>
      <w:r>
        <w:t xml:space="preserve"> configured</w:t>
      </w:r>
      <w:r w:rsidR="00916BEB">
        <w:t xml:space="preserve"> Idle eDRX cycle </w:t>
      </w:r>
      <w:r>
        <w:t>will</w:t>
      </w:r>
      <w:r w:rsidR="00916BEB">
        <w:t xml:space="preserve"> be </w:t>
      </w:r>
      <w:r>
        <w:t xml:space="preserve">equal to or </w:t>
      </w:r>
      <w:r w:rsidR="00916BEB">
        <w:t xml:space="preserve">larger than Inactive eDRX cycle, </w:t>
      </w:r>
      <w:r w:rsidR="003E671C">
        <w:t xml:space="preserve">from UE’s point of view, there will be two PTWs and PHs. </w:t>
      </w:r>
      <w:r w:rsidR="006238E5">
        <w:t xml:space="preserve">An example is provided in below figure. </w:t>
      </w:r>
    </w:p>
    <w:p w14:paraId="6FD6149F" w14:textId="656D22D2" w:rsidR="000F48E1" w:rsidRDefault="006238E5" w:rsidP="000F48E1">
      <w:pPr>
        <w:jc w:val="center"/>
      </w:pPr>
      <w:r>
        <w:object w:dxaOrig="11401" w:dyaOrig="2095" w14:anchorId="04489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89.55pt" o:ole="">
            <v:imagedata r:id="rId9" o:title=""/>
          </v:shape>
          <o:OLEObject Type="Embed" ProgID="Visio.Drawing.11" ShapeID="_x0000_i1025" DrawAspect="Content" ObjectID="_1664967859" r:id="rId10"/>
        </w:object>
      </w:r>
      <w:r w:rsidR="000F48E1">
        <w:t>Figure 1 A</w:t>
      </w:r>
      <w:r w:rsidR="00212DD3">
        <w:t xml:space="preserve"> </w:t>
      </w:r>
      <w:r w:rsidR="000F48E1">
        <w:t xml:space="preserve">UE configured with both IDLE and </w:t>
      </w:r>
      <w:r w:rsidR="00212DD3">
        <w:t>INACTIVE eDRX cycle</w:t>
      </w:r>
      <w:r w:rsidR="00242DDE">
        <w:t>s</w:t>
      </w:r>
      <w:r w:rsidR="00212DD3">
        <w:t xml:space="preserve"> &gt;10.24s</w:t>
      </w:r>
    </w:p>
    <w:p w14:paraId="6809BC2C" w14:textId="657BDAEF" w:rsidR="006238E5" w:rsidRDefault="000F48E1" w:rsidP="00D47AA1">
      <w:r>
        <w:t>Then, for detailed</w:t>
      </w:r>
      <w:r w:rsidR="00D47AA1">
        <w:t xml:space="preserve"> UE behaivour, </w:t>
      </w:r>
      <w:r w:rsidR="00D1323D">
        <w:t xml:space="preserve">at least </w:t>
      </w:r>
      <w:r w:rsidR="00F8721E">
        <w:t xml:space="preserve">the following </w:t>
      </w:r>
      <w:r w:rsidR="001450B6">
        <w:t>aspects</w:t>
      </w:r>
      <w:r w:rsidR="00D1323D">
        <w:t xml:space="preserve"> need to be </w:t>
      </w:r>
      <w:r>
        <w:t>discussed</w:t>
      </w:r>
      <w:r w:rsidR="00F8721E">
        <w:t>:</w:t>
      </w:r>
    </w:p>
    <w:p w14:paraId="2B557887" w14:textId="73E2D67A" w:rsidR="001450B6" w:rsidRDefault="005254A5" w:rsidP="00F8721E">
      <w:pPr>
        <w:pStyle w:val="afffffff3"/>
        <w:numPr>
          <w:ilvl w:val="0"/>
          <w:numId w:val="22"/>
        </w:numPr>
      </w:pPr>
      <w:r>
        <w:t>Whether to decouple Inactive eDRX cycle with RAN pa</w:t>
      </w:r>
      <w:r w:rsidR="00FC407F">
        <w:t>ging cycle (differ</w:t>
      </w:r>
      <w:r w:rsidR="00B43C4A">
        <w:t>ent</w:t>
      </w:r>
      <w:r w:rsidR="00FC407F">
        <w:t xml:space="preserve"> from LTE)</w:t>
      </w:r>
      <w:r w:rsidR="001450B6">
        <w:t xml:space="preserve">? </w:t>
      </w:r>
    </w:p>
    <w:p w14:paraId="3B511D12" w14:textId="1FA43E40" w:rsidR="00F8721E" w:rsidRDefault="008432EE" w:rsidP="00F8721E">
      <w:pPr>
        <w:pStyle w:val="afffffff3"/>
        <w:numPr>
          <w:ilvl w:val="0"/>
          <w:numId w:val="22"/>
        </w:numPr>
      </w:pPr>
      <w:r>
        <w:t>Which kind of paging are expected to be monitored during each period? One possibility can be</w:t>
      </w:r>
      <w:r w:rsidR="0020337D">
        <w:t>:</w:t>
      </w:r>
    </w:p>
    <w:p w14:paraId="0FA6238A" w14:textId="77777777" w:rsidR="008432EE" w:rsidRDefault="008432EE" w:rsidP="008432EE">
      <w:pPr>
        <w:pStyle w:val="afffffff3"/>
        <w:numPr>
          <w:ilvl w:val="0"/>
          <w:numId w:val="24"/>
        </w:numPr>
        <w:ind w:firstLine="131"/>
      </w:pPr>
      <w:r>
        <w:t>Monitor both RAN and CN paging during Period 1;</w:t>
      </w:r>
    </w:p>
    <w:p w14:paraId="73AE24BE" w14:textId="77777777" w:rsidR="008432EE" w:rsidRDefault="008432EE" w:rsidP="008432EE">
      <w:pPr>
        <w:pStyle w:val="afffffff3"/>
        <w:numPr>
          <w:ilvl w:val="0"/>
          <w:numId w:val="24"/>
        </w:numPr>
        <w:ind w:firstLine="131"/>
      </w:pPr>
      <w:r>
        <w:t>Monitor only CN paging during Period 2;</w:t>
      </w:r>
    </w:p>
    <w:p w14:paraId="7AC49564" w14:textId="77777777" w:rsidR="008432EE" w:rsidRDefault="008432EE" w:rsidP="008432EE">
      <w:pPr>
        <w:pStyle w:val="afffffff3"/>
        <w:numPr>
          <w:ilvl w:val="0"/>
          <w:numId w:val="24"/>
        </w:numPr>
        <w:ind w:firstLine="131"/>
      </w:pPr>
      <w:r>
        <w:t>Monitor only RAN paging during Period 3;</w:t>
      </w:r>
    </w:p>
    <w:p w14:paraId="62A40DA5" w14:textId="77777777" w:rsidR="008432EE" w:rsidRDefault="008432EE" w:rsidP="008432EE">
      <w:pPr>
        <w:pStyle w:val="afffffff3"/>
        <w:numPr>
          <w:ilvl w:val="0"/>
          <w:numId w:val="24"/>
        </w:numPr>
        <w:ind w:firstLine="131"/>
      </w:pPr>
      <w:r>
        <w:t>No paging during Period 4.</w:t>
      </w:r>
    </w:p>
    <w:p w14:paraId="03DD7441" w14:textId="6CACCC1E" w:rsidR="00D87482" w:rsidRDefault="0020337D" w:rsidP="00A3131D">
      <w:pPr>
        <w:pStyle w:val="afffffff3"/>
        <w:numPr>
          <w:ilvl w:val="0"/>
          <w:numId w:val="22"/>
        </w:numPr>
      </w:pPr>
      <w:r>
        <w:t>Whether</w:t>
      </w:r>
      <w:r w:rsidRPr="0020337D">
        <w:t xml:space="preserve"> </w:t>
      </w:r>
      <w:r>
        <w:t xml:space="preserve">to introduce configuration restriction for the two PTWs/PHs, so that UE does not need to wake up </w:t>
      </w:r>
      <w:r>
        <w:lastRenderedPageBreak/>
        <w:t>frequently (e.g. throught overlapping PTW windows);</w:t>
      </w:r>
      <w:r w:rsidR="00177B58">
        <w:t xml:space="preserve"> </w:t>
      </w:r>
    </w:p>
    <w:p w14:paraId="1F76AEAC" w14:textId="70545D84" w:rsidR="00B303B4" w:rsidRPr="00B303B4" w:rsidRDefault="00B303B4" w:rsidP="00B303B4">
      <w:pPr>
        <w:ind w:left="1276" w:hanging="1276"/>
        <w:rPr>
          <w:b/>
        </w:rPr>
      </w:pPr>
      <w:r>
        <w:rPr>
          <w:b/>
        </w:rPr>
        <w:t>Observation</w:t>
      </w:r>
      <w:r>
        <w:rPr>
          <w:rFonts w:hint="eastAsia"/>
          <w:b/>
        </w:rPr>
        <w:t xml:space="preserve"> </w:t>
      </w:r>
      <w:r>
        <w:rPr>
          <w:b/>
        </w:rPr>
        <w:t>3</w:t>
      </w:r>
      <w:r>
        <w:rPr>
          <w:rFonts w:hint="eastAsia"/>
          <w:b/>
        </w:rPr>
        <w:t xml:space="preserve">:  </w:t>
      </w:r>
      <w:r>
        <w:rPr>
          <w:b/>
        </w:rPr>
        <w:t>To support eDRX cycle &gt;10.24</w:t>
      </w:r>
      <w:r w:rsidR="00E96D38">
        <w:rPr>
          <w:b/>
        </w:rPr>
        <w:t xml:space="preserve"> </w:t>
      </w:r>
      <w:r>
        <w:rPr>
          <w:b/>
        </w:rPr>
        <w:t>for RRC_INA</w:t>
      </w:r>
      <w:r w:rsidR="00E96D38">
        <w:rPr>
          <w:b/>
        </w:rPr>
        <w:t>CTIVE, we need to discuss how UE behaves under two PTWs/PHs configuration, and potential configuration restriction between IDLE PTW/PH and INACTIVE PTW/PH</w:t>
      </w:r>
      <w:r>
        <w:rPr>
          <w:b/>
        </w:rPr>
        <w:t>.</w:t>
      </w:r>
    </w:p>
    <w:p w14:paraId="6EAE37D2" w14:textId="2A791029" w:rsidR="00A3131D" w:rsidRPr="0044310F" w:rsidRDefault="00A3131D" w:rsidP="00837AF5">
      <w:pPr>
        <w:pStyle w:val="afffffff3"/>
        <w:numPr>
          <w:ilvl w:val="0"/>
          <w:numId w:val="20"/>
        </w:numPr>
        <w:spacing w:before="120"/>
        <w:ind w:left="284" w:hanging="284"/>
        <w:rPr>
          <w:b/>
          <w:u w:val="single"/>
        </w:rPr>
      </w:pPr>
      <w:r w:rsidRPr="0044310F">
        <w:rPr>
          <w:b/>
          <w:u w:val="single"/>
        </w:rPr>
        <w:t xml:space="preserve">Issue </w:t>
      </w:r>
      <w:r w:rsidR="00B06F7B" w:rsidRPr="0044310F">
        <w:rPr>
          <w:b/>
          <w:u w:val="single"/>
        </w:rPr>
        <w:t>3</w:t>
      </w:r>
      <w:r w:rsidRPr="0044310F">
        <w:rPr>
          <w:b/>
          <w:u w:val="single"/>
        </w:rPr>
        <w:t xml:space="preserve">: </w:t>
      </w:r>
      <w:r w:rsidR="0085646C" w:rsidRPr="0044310F">
        <w:rPr>
          <w:b/>
          <w:u w:val="single"/>
        </w:rPr>
        <w:t>Which node determines eDRX cycle for RRC_INACTIVE UEs?</w:t>
      </w:r>
    </w:p>
    <w:p w14:paraId="59852415" w14:textId="00323B45" w:rsidR="00745DFB" w:rsidRDefault="00D1323D">
      <w:r>
        <w:t>As mentioned above</w:t>
      </w:r>
      <w:r w:rsidR="00745DFB">
        <w:t>, i</w:t>
      </w:r>
      <w:r w:rsidR="0085646C">
        <w:t xml:space="preserve">n LTE, </w:t>
      </w:r>
      <w:r w:rsidR="007C41E4">
        <w:t>the “eDRX cycle for RRC_INACIVE” is determined by RAN node, and it is transparent to core-network</w:t>
      </w:r>
      <w:r w:rsidR="00745DFB">
        <w:t xml:space="preserve">. However, </w:t>
      </w:r>
      <w:r>
        <w:t xml:space="preserve">for </w:t>
      </w:r>
      <w:r w:rsidR="00DB1462">
        <w:t>INACTIVE</w:t>
      </w:r>
      <w:r>
        <w:t xml:space="preserve"> Redcap UEs</w:t>
      </w:r>
      <w:r w:rsidR="00745DFB">
        <w:t xml:space="preserve">, if PTW/PH mechanism applies to RAN paging monitoring, in our view, the UE is only required to monitor RAN paging during </w:t>
      </w:r>
      <w:r>
        <w:t xml:space="preserve">Inactive PTW window. </w:t>
      </w:r>
      <w:r w:rsidR="00DB1462">
        <w:t>Then the RAN paging occasion will not be uniformly distributed in time domain. For RRC_IDLE UEs, the core network needs to know the eDRX configuration so it can deliver CN paging to RAN right before PTW. Similarly, for RRC_INACTIVE UEs, if core network does not know the Inactive PTW/PH configuration, and transmit DL data to RAN node. RAN node has to buffer those data, and wait for UE’s Inactive PTW window in order to trigger RAN p</w:t>
      </w:r>
      <w:r w:rsidR="00B303B4">
        <w:t xml:space="preserve">aging, this </w:t>
      </w:r>
      <w:r w:rsidR="00E96D38">
        <w:t>will bring extra burden to network side.</w:t>
      </w:r>
      <w:r w:rsidR="000368B0">
        <w:t xml:space="preserve"> </w:t>
      </w:r>
    </w:p>
    <w:p w14:paraId="726802FC" w14:textId="70E8D9DF" w:rsidR="00B303B4" w:rsidRPr="00916BEB" w:rsidRDefault="00B303B4" w:rsidP="00B303B4">
      <w:pPr>
        <w:ind w:left="1276" w:hanging="1276"/>
        <w:rPr>
          <w:b/>
        </w:rPr>
      </w:pPr>
      <w:r>
        <w:rPr>
          <w:b/>
        </w:rPr>
        <w:t>Observation</w:t>
      </w:r>
      <w:r>
        <w:rPr>
          <w:rFonts w:hint="eastAsia"/>
          <w:b/>
        </w:rPr>
        <w:t xml:space="preserve"> </w:t>
      </w:r>
      <w:r w:rsidR="009870D2">
        <w:rPr>
          <w:b/>
        </w:rPr>
        <w:t>4</w:t>
      </w:r>
      <w:r>
        <w:rPr>
          <w:rFonts w:hint="eastAsia"/>
          <w:b/>
        </w:rPr>
        <w:t xml:space="preserve">:  </w:t>
      </w:r>
      <w:r w:rsidR="00EF19FD">
        <w:rPr>
          <w:b/>
        </w:rPr>
        <w:t xml:space="preserve">For RRC_IDLE, core network will deliver </w:t>
      </w:r>
      <w:r w:rsidR="002E78C2">
        <w:rPr>
          <w:b/>
        </w:rPr>
        <w:t>p</w:t>
      </w:r>
      <w:r w:rsidR="00EF19FD">
        <w:rPr>
          <w:b/>
        </w:rPr>
        <w:t>aging to RAN node right bef</w:t>
      </w:r>
      <w:r w:rsidR="002E78C2">
        <w:rPr>
          <w:b/>
        </w:rPr>
        <w:t>ore Idle PTW. For RRC_INACTIVE,</w:t>
      </w:r>
      <w:r w:rsidR="00EF19FD">
        <w:rPr>
          <w:b/>
        </w:rPr>
        <w:t xml:space="preserve"> </w:t>
      </w:r>
      <w:r w:rsidR="00E96D38">
        <w:rPr>
          <w:b/>
        </w:rPr>
        <w:t xml:space="preserve">If </w:t>
      </w:r>
      <w:r w:rsidR="002E78C2">
        <w:rPr>
          <w:b/>
        </w:rPr>
        <w:t>core network</w:t>
      </w:r>
      <w:r w:rsidR="00E96D38">
        <w:rPr>
          <w:b/>
        </w:rPr>
        <w:t xml:space="preserve"> is unaware of </w:t>
      </w:r>
      <w:r w:rsidR="00046635">
        <w:rPr>
          <w:b/>
        </w:rPr>
        <w:t>UE’s</w:t>
      </w:r>
      <w:r w:rsidR="00E96D38">
        <w:rPr>
          <w:b/>
        </w:rPr>
        <w:t xml:space="preserve"> Inactive eDRX configuration, and transmit</w:t>
      </w:r>
      <w:r w:rsidR="00EF19FD">
        <w:rPr>
          <w:b/>
        </w:rPr>
        <w:t>s</w:t>
      </w:r>
      <w:r w:rsidR="00E96D38">
        <w:rPr>
          <w:b/>
        </w:rPr>
        <w:t xml:space="preserve"> downlink data to RAN node, RAN node has to buffer those data until UE’s Inactive PTW starts</w:t>
      </w:r>
      <w:r>
        <w:rPr>
          <w:b/>
        </w:rPr>
        <w:t>.</w:t>
      </w:r>
      <w:r w:rsidR="00EF19FD">
        <w:rPr>
          <w:b/>
        </w:rPr>
        <w:t xml:space="preserve"> </w:t>
      </w:r>
    </w:p>
    <w:p w14:paraId="2F69FD4A" w14:textId="77777777" w:rsidR="00613E27" w:rsidRDefault="000368B0">
      <w:r>
        <w:t>On the other hand, for RRC_INACTIVE UEs, the PDU session are already established in core network, if App server intends to send DL data to UE. Technically, if the Inactive eDRX cycle is large, and CN receives the data from App server, it is also difficult for CN to buffer those data</w:t>
      </w:r>
      <w:r w:rsidR="00613E27">
        <w:t xml:space="preserve">. So problem will occur when configures unreasonable eDRX cycle to RRC_INACTIVE. </w:t>
      </w:r>
    </w:p>
    <w:p w14:paraId="395C6F58" w14:textId="359621B4" w:rsidR="00613E27" w:rsidRDefault="00613E27">
      <w:r>
        <w:t xml:space="preserve">In LTE, during RRC connection, CN can provide </w:t>
      </w:r>
      <w:r>
        <w:rPr>
          <w:rFonts w:hint="eastAsia"/>
        </w:rPr>
        <w:t>idle</w:t>
      </w:r>
      <w:r>
        <w:t xml:space="preserve"> </w:t>
      </w:r>
      <w:r>
        <w:rPr>
          <w:rFonts w:hint="eastAsia"/>
        </w:rPr>
        <w:t>eDRX</w:t>
      </w:r>
      <w:r>
        <w:t xml:space="preserve"> </w:t>
      </w:r>
      <w:r>
        <w:rPr>
          <w:rFonts w:hint="eastAsia"/>
        </w:rPr>
        <w:t>cycle</w:t>
      </w:r>
      <w:r>
        <w:t xml:space="preserve"> </w:t>
      </w:r>
      <w:r>
        <w:rPr>
          <w:rFonts w:hint="eastAsia"/>
        </w:rPr>
        <w:t>to</w:t>
      </w:r>
      <w:r>
        <w:t xml:space="preserve"> </w:t>
      </w:r>
      <w:r>
        <w:rPr>
          <w:rFonts w:hint="eastAsia"/>
        </w:rPr>
        <w:t>eNB</w:t>
      </w:r>
      <w:r>
        <w:t xml:space="preserve"> in </w:t>
      </w:r>
      <w:r>
        <w:rPr>
          <w:rFonts w:hint="eastAsia"/>
        </w:rPr>
        <w:t>,</w:t>
      </w:r>
      <w:r>
        <w:t xml:space="preserve"> to  </w:t>
      </w:r>
    </w:p>
    <w:p w14:paraId="63C6D81A" w14:textId="1026BE3A" w:rsidR="007C41E4" w:rsidRDefault="00613E27">
      <w:r>
        <w:t xml:space="preserve">To solve this problem, </w:t>
      </w:r>
      <w:r w:rsidR="0047260B">
        <w:t xml:space="preserve">there are </w:t>
      </w:r>
      <w:r>
        <w:t>two</w:t>
      </w:r>
      <w:r w:rsidR="001C76E1">
        <w:t xml:space="preserve"> alternative solutions:</w:t>
      </w:r>
    </w:p>
    <w:p w14:paraId="6E56EC33" w14:textId="0A5D6C92" w:rsidR="001C76E1" w:rsidRDefault="001C76E1" w:rsidP="001C76E1">
      <w:pPr>
        <w:pStyle w:val="afffffff3"/>
        <w:numPr>
          <w:ilvl w:val="0"/>
          <w:numId w:val="25"/>
        </w:numPr>
        <w:ind w:left="1418" w:hanging="1418"/>
      </w:pPr>
      <w:r>
        <w:t>Solution 1: RAN node detemines Inactive eDRX cycle</w:t>
      </w:r>
      <w:r w:rsidR="00613E27">
        <w:t>, based on the assistance information provided by CN (e.g. maximum allowed Inactive eDRX cycle)</w:t>
      </w:r>
      <w:r w:rsidR="0047260B">
        <w:t>;</w:t>
      </w:r>
      <w:r>
        <w:t xml:space="preserve">  </w:t>
      </w:r>
    </w:p>
    <w:p w14:paraId="41AFDE3B" w14:textId="3FE2FBA4" w:rsidR="001C76E1" w:rsidRDefault="001C76E1" w:rsidP="0047260B">
      <w:pPr>
        <w:pStyle w:val="afffffff3"/>
        <w:numPr>
          <w:ilvl w:val="0"/>
          <w:numId w:val="25"/>
        </w:numPr>
        <w:ind w:left="1418" w:hanging="1418"/>
      </w:pPr>
      <w:r>
        <w:t>Solution 2: CN determines Inactive eDRX</w:t>
      </w:r>
      <w:r w:rsidR="0047260B">
        <w:t xml:space="preserve"> cycle, and coordinate with UE via NAS message, and CN can forward the Inactive eDRX cycle to RAN node via NG-C message (same as for Idle eDRX); </w:t>
      </w:r>
    </w:p>
    <w:p w14:paraId="09430081" w14:textId="5AF1EA68" w:rsidR="004A26A2" w:rsidRDefault="00EF1467">
      <w:r>
        <w:t xml:space="preserve">Between the two solutions, Solution 1 </w:t>
      </w:r>
      <w:r w:rsidR="00CD4248">
        <w:t>provides more flexibility to RAN node, that RAN can determine the RAN paging area as well as Paging occasions</w:t>
      </w:r>
      <w:r w:rsidR="004A26A2">
        <w:t>, since RAN node still configures Inactive eDRX cycle upon RRC releasing, the RAN is able to select a reasonable eDRX value</w:t>
      </w:r>
      <w:r w:rsidR="00CD4248">
        <w:t xml:space="preserve"> based on </w:t>
      </w:r>
      <w:r w:rsidR="004A26A2">
        <w:t>suspended</w:t>
      </w:r>
      <w:r w:rsidR="00CD4248">
        <w:t xml:space="preserve"> services. However, for solution 2, the NAS signalling design is up to CT1/SA2, in addition, </w:t>
      </w:r>
      <w:r w:rsidR="004A26A2">
        <w:t xml:space="preserve">when CN coordinates Inactive eDRX with UE, it has no idea which services will be suspended when UE enters Inactive mode, thus </w:t>
      </w:r>
      <w:r w:rsidR="00C31374">
        <w:t>CN can only decide</w:t>
      </w:r>
      <w:r w:rsidR="002C0E38">
        <w:t xml:space="preserve"> a</w:t>
      </w:r>
      <w:r w:rsidR="00C31374">
        <w:t xml:space="preserve"> conservative value based on </w:t>
      </w:r>
      <w:r w:rsidR="002C0E38">
        <w:t xml:space="preserve">all potential services associated to </w:t>
      </w:r>
      <w:r w:rsidR="00C31374">
        <w:t>the Redcap type</w:t>
      </w:r>
      <w:r w:rsidR="004A26A2">
        <w:t xml:space="preserve">. </w:t>
      </w:r>
    </w:p>
    <w:p w14:paraId="6AA1D6C7" w14:textId="72EE8726" w:rsidR="004A26A2" w:rsidRDefault="004A26A2">
      <w:r>
        <w:t xml:space="preserve">But in any case, if we aim to support eDRX cycle &gt;10.24s for RRC_INACTIVE UE, then above solution should be discussed. And we don’t think this </w:t>
      </w:r>
      <w:r w:rsidR="002C0E38">
        <w:t>can</w:t>
      </w:r>
      <w:r>
        <w:t xml:space="preserve"> be </w:t>
      </w:r>
      <w:r w:rsidR="002C0E38">
        <w:t xml:space="preserve">directly </w:t>
      </w:r>
      <w:r w:rsidR="00A13EEF">
        <w:t>decided</w:t>
      </w:r>
      <w:r>
        <w:t xml:space="preserve"> by CT1/SA2. </w:t>
      </w:r>
    </w:p>
    <w:p w14:paraId="2403B86D" w14:textId="7D55ECC2" w:rsidR="004A26A2" w:rsidRPr="00916BEB" w:rsidRDefault="004A26A2" w:rsidP="004A26A2">
      <w:pPr>
        <w:ind w:left="1276" w:hanging="1276"/>
        <w:rPr>
          <w:b/>
        </w:rPr>
      </w:pPr>
      <w:r>
        <w:rPr>
          <w:b/>
        </w:rPr>
        <w:t>Observation</w:t>
      </w:r>
      <w:r>
        <w:rPr>
          <w:rFonts w:hint="eastAsia"/>
          <w:b/>
        </w:rPr>
        <w:t xml:space="preserve"> </w:t>
      </w:r>
      <w:r w:rsidR="009870D2">
        <w:rPr>
          <w:b/>
        </w:rPr>
        <w:t>5</w:t>
      </w:r>
      <w:r>
        <w:rPr>
          <w:rFonts w:hint="eastAsia"/>
          <w:b/>
        </w:rPr>
        <w:t xml:space="preserve">:  </w:t>
      </w:r>
      <w:r>
        <w:rPr>
          <w:b/>
        </w:rPr>
        <w:t xml:space="preserve">If </w:t>
      </w:r>
      <w:r w:rsidR="00CE4945">
        <w:rPr>
          <w:b/>
        </w:rPr>
        <w:t xml:space="preserve">eDRX cycle &gt;10.24 is supported for RRC_INACTIVE, which node determines the eDRX cycle </w:t>
      </w:r>
      <w:r w:rsidR="002C0E38">
        <w:rPr>
          <w:b/>
        </w:rPr>
        <w:t>can</w:t>
      </w:r>
      <w:r w:rsidR="00CE4945">
        <w:rPr>
          <w:b/>
        </w:rPr>
        <w:t xml:space="preserve"> be first discussed in RAN2, and then inform CT1/SA2 if necessary.</w:t>
      </w:r>
      <w:r>
        <w:rPr>
          <w:b/>
        </w:rPr>
        <w:t xml:space="preserve"> </w:t>
      </w:r>
    </w:p>
    <w:p w14:paraId="537A5253" w14:textId="3E0AA277" w:rsidR="004A26A2" w:rsidRDefault="009870D2">
      <w:r>
        <w:t>Based on observation 1~5, we have the following proposals:</w:t>
      </w:r>
    </w:p>
    <w:p w14:paraId="7140580B" w14:textId="21A3F2F9" w:rsidR="001A2454" w:rsidRDefault="001A2454" w:rsidP="001A2454">
      <w:pPr>
        <w:spacing w:before="156" w:line="276" w:lineRule="auto"/>
        <w:ind w:left="993" w:hanging="993"/>
        <w:rPr>
          <w:b/>
        </w:rPr>
      </w:pPr>
      <w:r>
        <w:rPr>
          <w:b/>
        </w:rPr>
        <w:t xml:space="preserve">Proposal 1: eDRX cycle &gt;10.24 is not supported for RRC_INACTVE Redcap unless clear use case </w:t>
      </w:r>
      <w:r w:rsidR="008325F0">
        <w:rPr>
          <w:b/>
        </w:rPr>
        <w:t>is</w:t>
      </w:r>
      <w:r>
        <w:rPr>
          <w:b/>
        </w:rPr>
        <w:t xml:space="preserve"> identified</w:t>
      </w:r>
      <w:r w:rsidR="00B45CC4">
        <w:rPr>
          <w:b/>
        </w:rPr>
        <w:t xml:space="preserve"> </w:t>
      </w:r>
      <w:r w:rsidR="00B45CC4">
        <w:rPr>
          <w:b/>
        </w:rPr>
        <w:lastRenderedPageBreak/>
        <w:t>(LS can be sent to SA2 to clarify</w:t>
      </w:r>
      <w:r w:rsidR="00B57332">
        <w:rPr>
          <w:b/>
        </w:rPr>
        <w:t xml:space="preserve"> the use case</w:t>
      </w:r>
      <w:r w:rsidR="00B45CC4">
        <w:rPr>
          <w:b/>
        </w:rPr>
        <w:t>)</w:t>
      </w:r>
      <w:r>
        <w:rPr>
          <w:b/>
        </w:rPr>
        <w:t>.</w:t>
      </w:r>
    </w:p>
    <w:p w14:paraId="5C7BC61B" w14:textId="406DB918" w:rsidR="001A2454" w:rsidRDefault="001A2454" w:rsidP="001A2454">
      <w:pPr>
        <w:spacing w:before="156" w:line="276" w:lineRule="auto"/>
        <w:ind w:left="993" w:hanging="993"/>
        <w:rPr>
          <w:b/>
        </w:rPr>
      </w:pPr>
      <w:r>
        <w:rPr>
          <w:b/>
        </w:rPr>
        <w:t>Proposal 2: If RAN2 aim</w:t>
      </w:r>
      <w:r w:rsidR="004C5E74">
        <w:rPr>
          <w:b/>
        </w:rPr>
        <w:t>s</w:t>
      </w:r>
      <w:r>
        <w:rPr>
          <w:b/>
        </w:rPr>
        <w:t xml:space="preserve"> to support eDRX cycle &gt;10.24 for RRC_INACTVE Redcap, </w:t>
      </w:r>
      <w:r w:rsidR="00AA54B9">
        <w:rPr>
          <w:b/>
        </w:rPr>
        <w:t>an LS can be sent to CT1/SA2 about the impact on NAS retransmission timer. But the</w:t>
      </w:r>
      <w:r>
        <w:rPr>
          <w:b/>
        </w:rPr>
        <w:t xml:space="preserve"> following aspects should be discussed</w:t>
      </w:r>
      <w:r w:rsidR="00B57332">
        <w:rPr>
          <w:b/>
        </w:rPr>
        <w:t xml:space="preserve"> in </w:t>
      </w:r>
      <w:r>
        <w:rPr>
          <w:b/>
        </w:rPr>
        <w:t>RAN2</w:t>
      </w:r>
      <w:r w:rsidR="00B57332">
        <w:rPr>
          <w:b/>
        </w:rPr>
        <w:t xml:space="preserve"> first</w:t>
      </w:r>
      <w:r w:rsidR="00A25C1B">
        <w:rPr>
          <w:b/>
        </w:rPr>
        <w:t>:</w:t>
      </w:r>
    </w:p>
    <w:p w14:paraId="0F561AB4" w14:textId="00C6675E" w:rsidR="001A2454" w:rsidRDefault="001A2454" w:rsidP="001A2454">
      <w:pPr>
        <w:pStyle w:val="afffffff3"/>
        <w:numPr>
          <w:ilvl w:val="0"/>
          <w:numId w:val="26"/>
        </w:numPr>
        <w:spacing w:before="156" w:line="276" w:lineRule="auto"/>
        <w:rPr>
          <w:b/>
        </w:rPr>
      </w:pPr>
      <w:r>
        <w:rPr>
          <w:b/>
        </w:rPr>
        <w:t xml:space="preserve">Relationship between Inactive eDRX cycle and RAN paging cycle;  </w:t>
      </w:r>
    </w:p>
    <w:p w14:paraId="7C9E75C2" w14:textId="39CE4876" w:rsidR="001A2454" w:rsidRDefault="001A2454" w:rsidP="001A2454">
      <w:pPr>
        <w:pStyle w:val="afffffff3"/>
        <w:numPr>
          <w:ilvl w:val="0"/>
          <w:numId w:val="26"/>
        </w:numPr>
        <w:spacing w:before="156" w:line="276" w:lineRule="auto"/>
        <w:rPr>
          <w:b/>
        </w:rPr>
      </w:pPr>
      <w:r>
        <w:rPr>
          <w:b/>
        </w:rPr>
        <w:t>UE behaviour when both Idle and Inactive eDRX cycles are configured larger than 10.24s;</w:t>
      </w:r>
    </w:p>
    <w:p w14:paraId="62E0F6BB" w14:textId="1E500F73" w:rsidR="00D40012" w:rsidRDefault="00D40012" w:rsidP="001A2454">
      <w:pPr>
        <w:pStyle w:val="afffffff3"/>
        <w:numPr>
          <w:ilvl w:val="0"/>
          <w:numId w:val="26"/>
        </w:numPr>
        <w:spacing w:before="156" w:line="276" w:lineRule="auto"/>
        <w:rPr>
          <w:b/>
        </w:rPr>
      </w:pPr>
      <w:r>
        <w:rPr>
          <w:b/>
        </w:rPr>
        <w:t>Potential configuration restriction between Idle eDRX cycle and Inactive eDRX cycle;</w:t>
      </w:r>
    </w:p>
    <w:p w14:paraId="235B7977" w14:textId="23E81458" w:rsidR="001A2454" w:rsidRPr="001A2454" w:rsidRDefault="001A2454" w:rsidP="001A2454">
      <w:pPr>
        <w:pStyle w:val="afffffff3"/>
        <w:numPr>
          <w:ilvl w:val="0"/>
          <w:numId w:val="26"/>
        </w:numPr>
        <w:spacing w:before="156" w:line="276" w:lineRule="auto"/>
        <w:rPr>
          <w:b/>
        </w:rPr>
      </w:pPr>
      <w:r>
        <w:rPr>
          <w:b/>
        </w:rPr>
        <w:t>Which node is responsible to determine the Inactive eDRX cycle.</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6BBFAD2A" w14:textId="77777777" w:rsidR="007F3F06" w:rsidRPr="00D72F7B" w:rsidRDefault="007F3F06" w:rsidP="007F3F06">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The use case of supporting eDRX </w:t>
      </w:r>
      <w:r>
        <w:rPr>
          <w:rFonts w:hint="eastAsia"/>
          <w:b/>
        </w:rPr>
        <w:t>cycle</w:t>
      </w:r>
      <w:r>
        <w:rPr>
          <w:b/>
        </w:rPr>
        <w:t>&gt; 10.24s for RRC_INACTIVE Redcap is unclear.</w:t>
      </w:r>
    </w:p>
    <w:p w14:paraId="7DD0D0BB" w14:textId="77777777" w:rsidR="007F3F06" w:rsidRPr="00916BEB" w:rsidRDefault="007F3F06" w:rsidP="007F3F06">
      <w:pPr>
        <w:ind w:left="1276" w:hanging="1276"/>
        <w:rPr>
          <w:b/>
        </w:rPr>
      </w:pPr>
      <w:r>
        <w:rPr>
          <w:b/>
        </w:rPr>
        <w:t>Observation</w:t>
      </w:r>
      <w:r>
        <w:rPr>
          <w:rFonts w:hint="eastAsia"/>
          <w:b/>
        </w:rPr>
        <w:t xml:space="preserve"> </w:t>
      </w:r>
      <w:r>
        <w:rPr>
          <w:b/>
        </w:rPr>
        <w:t>2</w:t>
      </w:r>
      <w:r>
        <w:rPr>
          <w:rFonts w:hint="eastAsia"/>
          <w:b/>
        </w:rPr>
        <w:t xml:space="preserve">:  </w:t>
      </w:r>
      <w:r>
        <w:rPr>
          <w:b/>
        </w:rPr>
        <w:t>In LTE, the eDRX cycle for RRC_INACTIVE is specified as extended RAN paging cycle. For Redcap UE, once eDRX &gt;10.24s is supported for RRC_INACTIVE, we need to first discuss the relationship between Inactive eDRX cycle and RAN paging cycle.</w:t>
      </w:r>
    </w:p>
    <w:p w14:paraId="3212F1E1" w14:textId="77777777" w:rsidR="007F3F06" w:rsidRPr="00B303B4" w:rsidRDefault="007F3F06" w:rsidP="007F3F06">
      <w:pPr>
        <w:ind w:left="1276" w:hanging="1276"/>
        <w:rPr>
          <w:b/>
        </w:rPr>
      </w:pPr>
      <w:r>
        <w:rPr>
          <w:b/>
        </w:rPr>
        <w:t>Observation</w:t>
      </w:r>
      <w:r>
        <w:rPr>
          <w:rFonts w:hint="eastAsia"/>
          <w:b/>
        </w:rPr>
        <w:t xml:space="preserve"> </w:t>
      </w:r>
      <w:r>
        <w:rPr>
          <w:b/>
        </w:rPr>
        <w:t>3</w:t>
      </w:r>
      <w:r>
        <w:rPr>
          <w:rFonts w:hint="eastAsia"/>
          <w:b/>
        </w:rPr>
        <w:t xml:space="preserve">:  </w:t>
      </w:r>
      <w:r>
        <w:rPr>
          <w:b/>
        </w:rPr>
        <w:t>To support eDRX cycle &gt;10.24 for RRC_INACTIVE, we need to discuss how UE behaves under two PTWs/PHs configuration, and potential configuration restriction between IDLE PTW/PH and INACTIVE PTW/PH.</w:t>
      </w:r>
    </w:p>
    <w:p w14:paraId="7FBC0CCE" w14:textId="77777777" w:rsidR="007F3F06" w:rsidRPr="00916BEB" w:rsidRDefault="007F3F06" w:rsidP="007F3F06">
      <w:pPr>
        <w:ind w:left="1276" w:hanging="1276"/>
        <w:rPr>
          <w:b/>
        </w:rPr>
      </w:pPr>
      <w:r>
        <w:rPr>
          <w:b/>
        </w:rPr>
        <w:t>Observation</w:t>
      </w:r>
      <w:r>
        <w:rPr>
          <w:rFonts w:hint="eastAsia"/>
          <w:b/>
        </w:rPr>
        <w:t xml:space="preserve"> </w:t>
      </w:r>
      <w:r>
        <w:rPr>
          <w:b/>
        </w:rPr>
        <w:t>4</w:t>
      </w:r>
      <w:r>
        <w:rPr>
          <w:rFonts w:hint="eastAsia"/>
          <w:b/>
        </w:rPr>
        <w:t xml:space="preserve">:  </w:t>
      </w:r>
      <w:r>
        <w:rPr>
          <w:b/>
        </w:rPr>
        <w:t xml:space="preserve">For RRC_IDLE, core network will deliver paging to RAN node right before Idle PTW. For RRC_INACTIVE, If core network is unaware of UE’s Inactive eDRX configuration, and transmits downlink data to RAN node, RAN node has to buffer those data until UE’s Inactive PTW starts. </w:t>
      </w:r>
    </w:p>
    <w:p w14:paraId="113D98F0" w14:textId="77777777" w:rsidR="007F3F06" w:rsidRPr="00916BEB" w:rsidRDefault="007F3F06" w:rsidP="007F3F06">
      <w:pPr>
        <w:ind w:left="1276" w:hanging="1276"/>
        <w:rPr>
          <w:b/>
        </w:rPr>
      </w:pPr>
      <w:r>
        <w:rPr>
          <w:b/>
        </w:rPr>
        <w:t>Observation</w:t>
      </w:r>
      <w:r>
        <w:rPr>
          <w:rFonts w:hint="eastAsia"/>
          <w:b/>
        </w:rPr>
        <w:t xml:space="preserve"> </w:t>
      </w:r>
      <w:r>
        <w:rPr>
          <w:b/>
        </w:rPr>
        <w:t>5</w:t>
      </w:r>
      <w:r>
        <w:rPr>
          <w:rFonts w:hint="eastAsia"/>
          <w:b/>
        </w:rPr>
        <w:t xml:space="preserve">:  </w:t>
      </w:r>
      <w:r>
        <w:rPr>
          <w:b/>
        </w:rPr>
        <w:t xml:space="preserve">If eDRX cycle &gt;10.24 is supported for RRC_INACTIVE, which node determines the eDRX cycle can be first discussed in RAN2, and then inform CT1/SA2 if necessary. </w:t>
      </w:r>
    </w:p>
    <w:p w14:paraId="2F867A0F" w14:textId="4578A6CD" w:rsidR="007F3F06" w:rsidRDefault="007F3F06" w:rsidP="007F3F06">
      <w:pPr>
        <w:spacing w:before="156" w:line="276" w:lineRule="auto"/>
        <w:ind w:left="993" w:hanging="993"/>
        <w:rPr>
          <w:b/>
        </w:rPr>
      </w:pPr>
      <w:r>
        <w:rPr>
          <w:b/>
        </w:rPr>
        <w:t xml:space="preserve">Proposal 1: eDRX cycle &gt;10.24 is not supported for RRC_INACTVE Redcap unless clear use case </w:t>
      </w:r>
      <w:r w:rsidR="0081780C">
        <w:rPr>
          <w:b/>
        </w:rPr>
        <w:t>is</w:t>
      </w:r>
      <w:r>
        <w:rPr>
          <w:b/>
        </w:rPr>
        <w:t xml:space="preserve"> identified (LS can be sent to SA2 to clarify the use case).</w:t>
      </w:r>
    </w:p>
    <w:p w14:paraId="55055F13" w14:textId="77777777" w:rsidR="007F3F06" w:rsidRDefault="007F3F06" w:rsidP="007F3F06">
      <w:pPr>
        <w:spacing w:before="156" w:line="276" w:lineRule="auto"/>
        <w:ind w:left="993" w:hanging="993"/>
        <w:rPr>
          <w:b/>
        </w:rPr>
      </w:pPr>
      <w:r>
        <w:rPr>
          <w:b/>
        </w:rPr>
        <w:t>Proposal 2: If RAN2 aims to support eDRX cycle &gt;10.24 for RRC_INACTVE Redcap, an LS can be sent to CT1/SA2 about the impact on NAS retransmission timer. But the following aspects should be discussed in RAN2 first:</w:t>
      </w:r>
    </w:p>
    <w:p w14:paraId="4A1D3CA2" w14:textId="77777777" w:rsidR="007F3F06" w:rsidRDefault="007F3F06" w:rsidP="007F3F06">
      <w:pPr>
        <w:pStyle w:val="afffffff3"/>
        <w:numPr>
          <w:ilvl w:val="0"/>
          <w:numId w:val="26"/>
        </w:numPr>
        <w:spacing w:before="156" w:line="276" w:lineRule="auto"/>
        <w:rPr>
          <w:b/>
        </w:rPr>
      </w:pPr>
      <w:r>
        <w:rPr>
          <w:b/>
        </w:rPr>
        <w:t xml:space="preserve">Relationship between Inactive eDRX cycle and RAN paging cycle;  </w:t>
      </w:r>
    </w:p>
    <w:p w14:paraId="5EABFFCC" w14:textId="77777777" w:rsidR="007F3F06" w:rsidRDefault="007F3F06" w:rsidP="007F3F06">
      <w:pPr>
        <w:pStyle w:val="afffffff3"/>
        <w:numPr>
          <w:ilvl w:val="0"/>
          <w:numId w:val="26"/>
        </w:numPr>
        <w:spacing w:before="156" w:line="276" w:lineRule="auto"/>
        <w:rPr>
          <w:b/>
        </w:rPr>
      </w:pPr>
      <w:r>
        <w:rPr>
          <w:b/>
        </w:rPr>
        <w:t>UE behaviour when both Idle and Inactive eDRX cycles are configured larger than 10.24s;</w:t>
      </w:r>
    </w:p>
    <w:p w14:paraId="07811300" w14:textId="77777777" w:rsidR="007F3F06" w:rsidRDefault="007F3F06" w:rsidP="007F3F06">
      <w:pPr>
        <w:pStyle w:val="afffffff3"/>
        <w:numPr>
          <w:ilvl w:val="0"/>
          <w:numId w:val="26"/>
        </w:numPr>
        <w:spacing w:before="156" w:line="276" w:lineRule="auto"/>
        <w:rPr>
          <w:b/>
        </w:rPr>
      </w:pPr>
      <w:r>
        <w:rPr>
          <w:b/>
        </w:rPr>
        <w:t>Potential configuration restriction between Idle eDRX cycle and Inactive eDRX cycle;</w:t>
      </w:r>
    </w:p>
    <w:p w14:paraId="7DC28AF6" w14:textId="77777777" w:rsidR="007F3F06" w:rsidRPr="001A2454" w:rsidRDefault="007F3F06" w:rsidP="007F3F06">
      <w:pPr>
        <w:pStyle w:val="afffffff3"/>
        <w:numPr>
          <w:ilvl w:val="0"/>
          <w:numId w:val="26"/>
        </w:numPr>
        <w:spacing w:before="156" w:line="276" w:lineRule="auto"/>
        <w:rPr>
          <w:b/>
        </w:rPr>
      </w:pPr>
      <w:r>
        <w:rPr>
          <w:b/>
        </w:rPr>
        <w:t>Which node is responsible to determine the Inactive eDRX cycle.</w:t>
      </w:r>
    </w:p>
    <w:p w14:paraId="020C5914" w14:textId="77777777" w:rsidR="00106C42" w:rsidRDefault="00106C42" w:rsidP="007943BB">
      <w:pPr>
        <w:ind w:left="1276" w:hanging="1276"/>
        <w:rPr>
          <w:b/>
        </w:rPr>
      </w:pP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w:t>
      </w:r>
    </w:p>
    <w:p w14:paraId="45083B40" w14:textId="704DE76C" w:rsidR="00E84692" w:rsidRDefault="0043216B" w:rsidP="0009621A">
      <w:pPr>
        <w:spacing w:before="156"/>
      </w:pPr>
      <w:r>
        <w:t xml:space="preserve">[1] </w:t>
      </w:r>
      <w:r w:rsidR="00106C42" w:rsidRPr="00106C42">
        <w:t xml:space="preserve">[Post111-e][915][REDCAP] UE power saving features </w:t>
      </w:r>
      <w:r w:rsidR="00106C42">
        <w:t xml:space="preserve">   CATT</w:t>
      </w:r>
      <w:r w:rsidR="005B127E">
        <w:t>;</w:t>
      </w:r>
      <w:bookmarkEnd w:id="3"/>
    </w:p>
    <w:p w14:paraId="2685765A" w14:textId="77777777" w:rsidR="00134A71" w:rsidRDefault="00134A71" w:rsidP="0009621A">
      <w:pPr>
        <w:spacing w:before="156"/>
      </w:pPr>
    </w:p>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D23CA" w14:textId="77777777" w:rsidR="00A477D2" w:rsidRDefault="00A477D2">
      <w:pPr>
        <w:spacing w:after="0"/>
      </w:pPr>
      <w:r>
        <w:separator/>
      </w:r>
    </w:p>
  </w:endnote>
  <w:endnote w:type="continuationSeparator" w:id="0">
    <w:p w14:paraId="62B9C574" w14:textId="77777777" w:rsidR="00A477D2" w:rsidRDefault="00A4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EA36D" w14:textId="77777777" w:rsidR="00A477D2" w:rsidRDefault="00A477D2">
      <w:pPr>
        <w:spacing w:after="0"/>
      </w:pPr>
      <w:r>
        <w:separator/>
      </w:r>
    </w:p>
  </w:footnote>
  <w:footnote w:type="continuationSeparator" w:id="0">
    <w:p w14:paraId="48445B93" w14:textId="77777777" w:rsidR="00A477D2" w:rsidRDefault="00A477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4BC0519"/>
    <w:multiLevelType w:val="hybridMultilevel"/>
    <w:tmpl w:val="2CC29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896A72"/>
    <w:multiLevelType w:val="hybridMultilevel"/>
    <w:tmpl w:val="B792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FB7B27"/>
    <w:multiLevelType w:val="hybridMultilevel"/>
    <w:tmpl w:val="D9E0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0136035"/>
    <w:multiLevelType w:val="hybridMultilevel"/>
    <w:tmpl w:val="529E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E5B31"/>
    <w:multiLevelType w:val="hybridMultilevel"/>
    <w:tmpl w:val="EBFE0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AAB50A7"/>
    <w:multiLevelType w:val="hybridMultilevel"/>
    <w:tmpl w:val="C93ED696"/>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62E57B3"/>
    <w:multiLevelType w:val="hybridMultilevel"/>
    <w:tmpl w:val="43A0A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E2813BB"/>
    <w:multiLevelType w:val="hybridMultilevel"/>
    <w:tmpl w:val="1F542146"/>
    <w:lvl w:ilvl="0" w:tplc="7EAAC602">
      <w:start w:val="1"/>
      <w:numFmt w:val="bullet"/>
      <w:lvlText w:val="-"/>
      <w:lvlJc w:val="left"/>
      <w:pPr>
        <w:ind w:left="1722" w:hanging="360"/>
      </w:pPr>
      <w:rPr>
        <w:rFonts w:ascii="Times New Roman" w:hAnsi="Times New Roman" w:cs="Times New Roman" w:hint="default"/>
      </w:rPr>
    </w:lvl>
    <w:lvl w:ilvl="1" w:tplc="04090003" w:tentative="1">
      <w:start w:val="1"/>
      <w:numFmt w:val="bullet"/>
      <w:lvlText w:val="o"/>
      <w:lvlJc w:val="left"/>
      <w:pPr>
        <w:ind w:left="2442" w:hanging="360"/>
      </w:pPr>
      <w:rPr>
        <w:rFonts w:ascii="Courier New" w:hAnsi="Courier New" w:cs="Courier New" w:hint="default"/>
      </w:rPr>
    </w:lvl>
    <w:lvl w:ilvl="2" w:tplc="04090005" w:tentative="1">
      <w:start w:val="1"/>
      <w:numFmt w:val="bullet"/>
      <w:lvlText w:val=""/>
      <w:lvlJc w:val="left"/>
      <w:pPr>
        <w:ind w:left="3162" w:hanging="360"/>
      </w:pPr>
      <w:rPr>
        <w:rFonts w:ascii="Wingdings" w:hAnsi="Wingdings" w:hint="default"/>
      </w:rPr>
    </w:lvl>
    <w:lvl w:ilvl="3" w:tplc="04090001" w:tentative="1">
      <w:start w:val="1"/>
      <w:numFmt w:val="bullet"/>
      <w:lvlText w:val=""/>
      <w:lvlJc w:val="left"/>
      <w:pPr>
        <w:ind w:left="3882" w:hanging="360"/>
      </w:pPr>
      <w:rPr>
        <w:rFonts w:ascii="Symbol" w:hAnsi="Symbol" w:hint="default"/>
      </w:rPr>
    </w:lvl>
    <w:lvl w:ilvl="4" w:tplc="04090003" w:tentative="1">
      <w:start w:val="1"/>
      <w:numFmt w:val="bullet"/>
      <w:lvlText w:val="o"/>
      <w:lvlJc w:val="left"/>
      <w:pPr>
        <w:ind w:left="4602" w:hanging="360"/>
      </w:pPr>
      <w:rPr>
        <w:rFonts w:ascii="Courier New" w:hAnsi="Courier New" w:cs="Courier New" w:hint="default"/>
      </w:rPr>
    </w:lvl>
    <w:lvl w:ilvl="5" w:tplc="04090005" w:tentative="1">
      <w:start w:val="1"/>
      <w:numFmt w:val="bullet"/>
      <w:lvlText w:val=""/>
      <w:lvlJc w:val="left"/>
      <w:pPr>
        <w:ind w:left="5322" w:hanging="360"/>
      </w:pPr>
      <w:rPr>
        <w:rFonts w:ascii="Wingdings" w:hAnsi="Wingdings" w:hint="default"/>
      </w:rPr>
    </w:lvl>
    <w:lvl w:ilvl="6" w:tplc="04090001" w:tentative="1">
      <w:start w:val="1"/>
      <w:numFmt w:val="bullet"/>
      <w:lvlText w:val=""/>
      <w:lvlJc w:val="left"/>
      <w:pPr>
        <w:ind w:left="6042" w:hanging="360"/>
      </w:pPr>
      <w:rPr>
        <w:rFonts w:ascii="Symbol" w:hAnsi="Symbol" w:hint="default"/>
      </w:rPr>
    </w:lvl>
    <w:lvl w:ilvl="7" w:tplc="04090003" w:tentative="1">
      <w:start w:val="1"/>
      <w:numFmt w:val="bullet"/>
      <w:lvlText w:val="o"/>
      <w:lvlJc w:val="left"/>
      <w:pPr>
        <w:ind w:left="6762" w:hanging="360"/>
      </w:pPr>
      <w:rPr>
        <w:rFonts w:ascii="Courier New" w:hAnsi="Courier New" w:cs="Courier New" w:hint="default"/>
      </w:rPr>
    </w:lvl>
    <w:lvl w:ilvl="8" w:tplc="04090005" w:tentative="1">
      <w:start w:val="1"/>
      <w:numFmt w:val="bullet"/>
      <w:lvlText w:val=""/>
      <w:lvlJc w:val="left"/>
      <w:pPr>
        <w:ind w:left="7482" w:hanging="360"/>
      </w:pPr>
      <w:rPr>
        <w:rFonts w:ascii="Wingdings" w:hAnsi="Wingdings" w:hint="default"/>
      </w:rPr>
    </w:lvl>
  </w:abstractNum>
  <w:num w:numId="1">
    <w:abstractNumId w:val="1"/>
  </w:num>
  <w:num w:numId="2">
    <w:abstractNumId w:val="20"/>
  </w:num>
  <w:num w:numId="3">
    <w:abstractNumId w:val="25"/>
  </w:num>
  <w:num w:numId="4">
    <w:abstractNumId w:val="18"/>
  </w:num>
  <w:num w:numId="5">
    <w:abstractNumId w:val="4"/>
  </w:num>
  <w:num w:numId="6">
    <w:abstractNumId w:val="9"/>
  </w:num>
  <w:num w:numId="7">
    <w:abstractNumId w:val="5"/>
  </w:num>
  <w:num w:numId="8">
    <w:abstractNumId w:val="24"/>
  </w:num>
  <w:num w:numId="9">
    <w:abstractNumId w:val="14"/>
  </w:num>
  <w:num w:numId="10">
    <w:abstractNumId w:val="7"/>
  </w:num>
  <w:num w:numId="11">
    <w:abstractNumId w:val="0"/>
  </w:num>
  <w:num w:numId="12">
    <w:abstractNumId w:val="21"/>
  </w:num>
  <w:num w:numId="13">
    <w:abstractNumId w:val="6"/>
  </w:num>
  <w:num w:numId="14">
    <w:abstractNumId w:val="2"/>
  </w:num>
  <w:num w:numId="15">
    <w:abstractNumId w:val="3"/>
  </w:num>
  <w:num w:numId="16">
    <w:abstractNumId w:val="8"/>
  </w:num>
  <w:num w:numId="17">
    <w:abstractNumId w:val="15"/>
  </w:num>
  <w:num w:numId="18">
    <w:abstractNumId w:val="10"/>
  </w:num>
  <w:num w:numId="19">
    <w:abstractNumId w:val="23"/>
  </w:num>
  <w:num w:numId="20">
    <w:abstractNumId w:val="13"/>
  </w:num>
  <w:num w:numId="21">
    <w:abstractNumId w:val="17"/>
  </w:num>
  <w:num w:numId="22">
    <w:abstractNumId w:val="11"/>
  </w:num>
  <w:num w:numId="23">
    <w:abstractNumId w:val="22"/>
  </w:num>
  <w:num w:numId="24">
    <w:abstractNumId w:val="19"/>
  </w:num>
  <w:num w:numId="25">
    <w:abstractNumId w:val="12"/>
  </w:num>
  <w:num w:numId="26">
    <w:abstractNumId w:val="2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68B0"/>
    <w:rsid w:val="00037973"/>
    <w:rsid w:val="00040A63"/>
    <w:rsid w:val="0004105F"/>
    <w:rsid w:val="000424DB"/>
    <w:rsid w:val="00042E6F"/>
    <w:rsid w:val="00043923"/>
    <w:rsid w:val="000439F7"/>
    <w:rsid w:val="00044CC7"/>
    <w:rsid w:val="0004506E"/>
    <w:rsid w:val="00046160"/>
    <w:rsid w:val="00046635"/>
    <w:rsid w:val="00047CF7"/>
    <w:rsid w:val="0005129F"/>
    <w:rsid w:val="00051971"/>
    <w:rsid w:val="000563ED"/>
    <w:rsid w:val="000571B0"/>
    <w:rsid w:val="00057DA8"/>
    <w:rsid w:val="00062DCF"/>
    <w:rsid w:val="000639F7"/>
    <w:rsid w:val="0007093A"/>
    <w:rsid w:val="000711E6"/>
    <w:rsid w:val="0007205B"/>
    <w:rsid w:val="000720EB"/>
    <w:rsid w:val="00072D19"/>
    <w:rsid w:val="000755A8"/>
    <w:rsid w:val="0007644F"/>
    <w:rsid w:val="00076824"/>
    <w:rsid w:val="00076B12"/>
    <w:rsid w:val="000801E0"/>
    <w:rsid w:val="000804D4"/>
    <w:rsid w:val="0008122E"/>
    <w:rsid w:val="00082CAA"/>
    <w:rsid w:val="00084128"/>
    <w:rsid w:val="00084609"/>
    <w:rsid w:val="00085220"/>
    <w:rsid w:val="000875C4"/>
    <w:rsid w:val="00087EC3"/>
    <w:rsid w:val="0009084A"/>
    <w:rsid w:val="000915A4"/>
    <w:rsid w:val="0009174A"/>
    <w:rsid w:val="0009278C"/>
    <w:rsid w:val="00092939"/>
    <w:rsid w:val="0009621A"/>
    <w:rsid w:val="00097209"/>
    <w:rsid w:val="00097368"/>
    <w:rsid w:val="0009777E"/>
    <w:rsid w:val="000A0410"/>
    <w:rsid w:val="000A204F"/>
    <w:rsid w:val="000A2A28"/>
    <w:rsid w:val="000A2D0A"/>
    <w:rsid w:val="000A3A4E"/>
    <w:rsid w:val="000A53F5"/>
    <w:rsid w:val="000B0D12"/>
    <w:rsid w:val="000B1996"/>
    <w:rsid w:val="000B1ECC"/>
    <w:rsid w:val="000B21DA"/>
    <w:rsid w:val="000B25A2"/>
    <w:rsid w:val="000B265A"/>
    <w:rsid w:val="000B31AA"/>
    <w:rsid w:val="000B38F6"/>
    <w:rsid w:val="000B3B62"/>
    <w:rsid w:val="000B42B0"/>
    <w:rsid w:val="000B482E"/>
    <w:rsid w:val="000B4B76"/>
    <w:rsid w:val="000B5C88"/>
    <w:rsid w:val="000B65CB"/>
    <w:rsid w:val="000B780E"/>
    <w:rsid w:val="000C0353"/>
    <w:rsid w:val="000C2499"/>
    <w:rsid w:val="000C2659"/>
    <w:rsid w:val="000C2690"/>
    <w:rsid w:val="000C2FA7"/>
    <w:rsid w:val="000C364E"/>
    <w:rsid w:val="000C5D4C"/>
    <w:rsid w:val="000C5D86"/>
    <w:rsid w:val="000C69E1"/>
    <w:rsid w:val="000C7FC7"/>
    <w:rsid w:val="000D18C5"/>
    <w:rsid w:val="000D1EF9"/>
    <w:rsid w:val="000D2BF9"/>
    <w:rsid w:val="000D370A"/>
    <w:rsid w:val="000D4FA0"/>
    <w:rsid w:val="000D59AA"/>
    <w:rsid w:val="000D722D"/>
    <w:rsid w:val="000E1125"/>
    <w:rsid w:val="000E1940"/>
    <w:rsid w:val="000E1993"/>
    <w:rsid w:val="000E2798"/>
    <w:rsid w:val="000E3141"/>
    <w:rsid w:val="000E3B8A"/>
    <w:rsid w:val="000E4C9C"/>
    <w:rsid w:val="000E6AE2"/>
    <w:rsid w:val="000F0A7B"/>
    <w:rsid w:val="000F451B"/>
    <w:rsid w:val="000F48E1"/>
    <w:rsid w:val="00100030"/>
    <w:rsid w:val="0010484A"/>
    <w:rsid w:val="00104C1F"/>
    <w:rsid w:val="00106BB7"/>
    <w:rsid w:val="00106C42"/>
    <w:rsid w:val="00111C96"/>
    <w:rsid w:val="00111CE0"/>
    <w:rsid w:val="00111DF0"/>
    <w:rsid w:val="001135C5"/>
    <w:rsid w:val="001147C0"/>
    <w:rsid w:val="00114AAE"/>
    <w:rsid w:val="001246BA"/>
    <w:rsid w:val="001253A3"/>
    <w:rsid w:val="00126145"/>
    <w:rsid w:val="0012673B"/>
    <w:rsid w:val="001277F8"/>
    <w:rsid w:val="001311B5"/>
    <w:rsid w:val="00131F75"/>
    <w:rsid w:val="0013288E"/>
    <w:rsid w:val="00132B0C"/>
    <w:rsid w:val="00134275"/>
    <w:rsid w:val="00134A71"/>
    <w:rsid w:val="00137B0E"/>
    <w:rsid w:val="00137D4E"/>
    <w:rsid w:val="001400A0"/>
    <w:rsid w:val="001413B6"/>
    <w:rsid w:val="00141835"/>
    <w:rsid w:val="00144D47"/>
    <w:rsid w:val="00144E28"/>
    <w:rsid w:val="001450B6"/>
    <w:rsid w:val="00145AFF"/>
    <w:rsid w:val="00147740"/>
    <w:rsid w:val="00150BAB"/>
    <w:rsid w:val="00155054"/>
    <w:rsid w:val="0015657D"/>
    <w:rsid w:val="00160A40"/>
    <w:rsid w:val="00160DA4"/>
    <w:rsid w:val="001627D9"/>
    <w:rsid w:val="0016373F"/>
    <w:rsid w:val="00164CA7"/>
    <w:rsid w:val="00171FF9"/>
    <w:rsid w:val="0017245C"/>
    <w:rsid w:val="00172A27"/>
    <w:rsid w:val="00172AF8"/>
    <w:rsid w:val="00173A68"/>
    <w:rsid w:val="00175874"/>
    <w:rsid w:val="001767E6"/>
    <w:rsid w:val="00176AC2"/>
    <w:rsid w:val="00177B58"/>
    <w:rsid w:val="001802FB"/>
    <w:rsid w:val="001806A8"/>
    <w:rsid w:val="00180939"/>
    <w:rsid w:val="00180983"/>
    <w:rsid w:val="00182A00"/>
    <w:rsid w:val="0018310D"/>
    <w:rsid w:val="00184214"/>
    <w:rsid w:val="00184452"/>
    <w:rsid w:val="00187FEF"/>
    <w:rsid w:val="00190A8D"/>
    <w:rsid w:val="001930BE"/>
    <w:rsid w:val="0019368F"/>
    <w:rsid w:val="0019400F"/>
    <w:rsid w:val="0019547D"/>
    <w:rsid w:val="00195E1F"/>
    <w:rsid w:val="00196645"/>
    <w:rsid w:val="00197997"/>
    <w:rsid w:val="001A0C8F"/>
    <w:rsid w:val="001A2454"/>
    <w:rsid w:val="001A36F7"/>
    <w:rsid w:val="001A384E"/>
    <w:rsid w:val="001A3C20"/>
    <w:rsid w:val="001A4015"/>
    <w:rsid w:val="001A6AFD"/>
    <w:rsid w:val="001A6EDC"/>
    <w:rsid w:val="001B13ED"/>
    <w:rsid w:val="001B21A1"/>
    <w:rsid w:val="001B337C"/>
    <w:rsid w:val="001B5AE5"/>
    <w:rsid w:val="001B7027"/>
    <w:rsid w:val="001B7C67"/>
    <w:rsid w:val="001C0CED"/>
    <w:rsid w:val="001C1105"/>
    <w:rsid w:val="001C17C6"/>
    <w:rsid w:val="001C18D3"/>
    <w:rsid w:val="001C22DE"/>
    <w:rsid w:val="001C27C7"/>
    <w:rsid w:val="001C3C4C"/>
    <w:rsid w:val="001C69FA"/>
    <w:rsid w:val="001C76E1"/>
    <w:rsid w:val="001C7B80"/>
    <w:rsid w:val="001D2914"/>
    <w:rsid w:val="001D2FB0"/>
    <w:rsid w:val="001D3307"/>
    <w:rsid w:val="001D68CB"/>
    <w:rsid w:val="001E0341"/>
    <w:rsid w:val="001E0995"/>
    <w:rsid w:val="001E1C36"/>
    <w:rsid w:val="001E1E3C"/>
    <w:rsid w:val="001E347A"/>
    <w:rsid w:val="001E3596"/>
    <w:rsid w:val="001E3D8C"/>
    <w:rsid w:val="001E43EF"/>
    <w:rsid w:val="001E44CD"/>
    <w:rsid w:val="001E6F40"/>
    <w:rsid w:val="001F33AC"/>
    <w:rsid w:val="001F3DF5"/>
    <w:rsid w:val="001F4346"/>
    <w:rsid w:val="001F5EDA"/>
    <w:rsid w:val="001F7E3A"/>
    <w:rsid w:val="00201FFE"/>
    <w:rsid w:val="00202C4B"/>
    <w:rsid w:val="0020337D"/>
    <w:rsid w:val="00204080"/>
    <w:rsid w:val="00206380"/>
    <w:rsid w:val="00207FF6"/>
    <w:rsid w:val="0021293D"/>
    <w:rsid w:val="00212DD3"/>
    <w:rsid w:val="002132A0"/>
    <w:rsid w:val="002155FA"/>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2DDE"/>
    <w:rsid w:val="0024359E"/>
    <w:rsid w:val="00244D42"/>
    <w:rsid w:val="00245560"/>
    <w:rsid w:val="00246FFA"/>
    <w:rsid w:val="00247076"/>
    <w:rsid w:val="002515C6"/>
    <w:rsid w:val="00252B94"/>
    <w:rsid w:val="00255E19"/>
    <w:rsid w:val="002563B4"/>
    <w:rsid w:val="00256C2E"/>
    <w:rsid w:val="00257233"/>
    <w:rsid w:val="00257318"/>
    <w:rsid w:val="00260716"/>
    <w:rsid w:val="0026193E"/>
    <w:rsid w:val="00261A9C"/>
    <w:rsid w:val="00262518"/>
    <w:rsid w:val="00262C9D"/>
    <w:rsid w:val="0026319B"/>
    <w:rsid w:val="00264C0D"/>
    <w:rsid w:val="00265433"/>
    <w:rsid w:val="0026731F"/>
    <w:rsid w:val="00267D41"/>
    <w:rsid w:val="002700C4"/>
    <w:rsid w:val="00270A1C"/>
    <w:rsid w:val="00271ED8"/>
    <w:rsid w:val="00271FEE"/>
    <w:rsid w:val="00272572"/>
    <w:rsid w:val="002730ED"/>
    <w:rsid w:val="0027451C"/>
    <w:rsid w:val="00275BC1"/>
    <w:rsid w:val="0027635A"/>
    <w:rsid w:val="0027712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A5262"/>
    <w:rsid w:val="002B136A"/>
    <w:rsid w:val="002B1638"/>
    <w:rsid w:val="002B24A3"/>
    <w:rsid w:val="002B2BBC"/>
    <w:rsid w:val="002B351B"/>
    <w:rsid w:val="002B3C48"/>
    <w:rsid w:val="002B434C"/>
    <w:rsid w:val="002B4F1D"/>
    <w:rsid w:val="002B7014"/>
    <w:rsid w:val="002C0864"/>
    <w:rsid w:val="002C0E38"/>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5EB6"/>
    <w:rsid w:val="002E7525"/>
    <w:rsid w:val="002E7663"/>
    <w:rsid w:val="002E78C2"/>
    <w:rsid w:val="002E7C9E"/>
    <w:rsid w:val="002F01CA"/>
    <w:rsid w:val="002F1163"/>
    <w:rsid w:val="002F2D00"/>
    <w:rsid w:val="002F3161"/>
    <w:rsid w:val="002F4528"/>
    <w:rsid w:val="002F50DB"/>
    <w:rsid w:val="002F5517"/>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1858"/>
    <w:rsid w:val="00333515"/>
    <w:rsid w:val="0033380C"/>
    <w:rsid w:val="00333D6C"/>
    <w:rsid w:val="0033426F"/>
    <w:rsid w:val="00335B60"/>
    <w:rsid w:val="00335E3D"/>
    <w:rsid w:val="00336046"/>
    <w:rsid w:val="003362BF"/>
    <w:rsid w:val="003402E6"/>
    <w:rsid w:val="00340AAF"/>
    <w:rsid w:val="00341B7C"/>
    <w:rsid w:val="003436BE"/>
    <w:rsid w:val="003450C3"/>
    <w:rsid w:val="00345FC0"/>
    <w:rsid w:val="003469FC"/>
    <w:rsid w:val="003472E7"/>
    <w:rsid w:val="00347800"/>
    <w:rsid w:val="00347C14"/>
    <w:rsid w:val="003504B5"/>
    <w:rsid w:val="0035362F"/>
    <w:rsid w:val="003546A6"/>
    <w:rsid w:val="00354915"/>
    <w:rsid w:val="003549DB"/>
    <w:rsid w:val="00354E6F"/>
    <w:rsid w:val="00357465"/>
    <w:rsid w:val="003577BE"/>
    <w:rsid w:val="003577F5"/>
    <w:rsid w:val="003601A9"/>
    <w:rsid w:val="00362FCF"/>
    <w:rsid w:val="0036468F"/>
    <w:rsid w:val="00366993"/>
    <w:rsid w:val="0037079D"/>
    <w:rsid w:val="00370E0A"/>
    <w:rsid w:val="00371876"/>
    <w:rsid w:val="00371DAE"/>
    <w:rsid w:val="0037293C"/>
    <w:rsid w:val="00372C00"/>
    <w:rsid w:val="003764F0"/>
    <w:rsid w:val="00376C20"/>
    <w:rsid w:val="00377404"/>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075"/>
    <w:rsid w:val="003A3ACC"/>
    <w:rsid w:val="003A4C78"/>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C4E0E"/>
    <w:rsid w:val="003D01E0"/>
    <w:rsid w:val="003D03EC"/>
    <w:rsid w:val="003D0EF8"/>
    <w:rsid w:val="003D1455"/>
    <w:rsid w:val="003D2840"/>
    <w:rsid w:val="003D2B72"/>
    <w:rsid w:val="003D42C7"/>
    <w:rsid w:val="003D4964"/>
    <w:rsid w:val="003D6201"/>
    <w:rsid w:val="003D7765"/>
    <w:rsid w:val="003E1518"/>
    <w:rsid w:val="003E235E"/>
    <w:rsid w:val="003E3E67"/>
    <w:rsid w:val="003E42F6"/>
    <w:rsid w:val="003E48E7"/>
    <w:rsid w:val="003E671C"/>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0E3"/>
    <w:rsid w:val="0043216B"/>
    <w:rsid w:val="00436238"/>
    <w:rsid w:val="00437A19"/>
    <w:rsid w:val="00441EB5"/>
    <w:rsid w:val="0044310F"/>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260B"/>
    <w:rsid w:val="00473BBD"/>
    <w:rsid w:val="0047403A"/>
    <w:rsid w:val="00474161"/>
    <w:rsid w:val="0047432D"/>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A0053"/>
    <w:rsid w:val="004A0BD2"/>
    <w:rsid w:val="004A2687"/>
    <w:rsid w:val="004A26A2"/>
    <w:rsid w:val="004A402F"/>
    <w:rsid w:val="004A6761"/>
    <w:rsid w:val="004B2B05"/>
    <w:rsid w:val="004B2BBA"/>
    <w:rsid w:val="004B3425"/>
    <w:rsid w:val="004B6188"/>
    <w:rsid w:val="004B6B21"/>
    <w:rsid w:val="004B71F4"/>
    <w:rsid w:val="004B76B6"/>
    <w:rsid w:val="004B7EA1"/>
    <w:rsid w:val="004C0B5E"/>
    <w:rsid w:val="004C16C3"/>
    <w:rsid w:val="004C16F8"/>
    <w:rsid w:val="004C3E66"/>
    <w:rsid w:val="004C4244"/>
    <w:rsid w:val="004C51B5"/>
    <w:rsid w:val="004C5E74"/>
    <w:rsid w:val="004C6313"/>
    <w:rsid w:val="004C63EE"/>
    <w:rsid w:val="004C69F0"/>
    <w:rsid w:val="004D05D8"/>
    <w:rsid w:val="004D0970"/>
    <w:rsid w:val="004D1073"/>
    <w:rsid w:val="004D1EE6"/>
    <w:rsid w:val="004D238B"/>
    <w:rsid w:val="004D39A3"/>
    <w:rsid w:val="004D3F7B"/>
    <w:rsid w:val="004D6EDD"/>
    <w:rsid w:val="004D7034"/>
    <w:rsid w:val="004E06BE"/>
    <w:rsid w:val="004E3A45"/>
    <w:rsid w:val="004E3B7D"/>
    <w:rsid w:val="004E3E3E"/>
    <w:rsid w:val="004E4673"/>
    <w:rsid w:val="004E5219"/>
    <w:rsid w:val="004E5753"/>
    <w:rsid w:val="004F10CA"/>
    <w:rsid w:val="004F188D"/>
    <w:rsid w:val="004F2919"/>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4A5"/>
    <w:rsid w:val="00525585"/>
    <w:rsid w:val="0052657B"/>
    <w:rsid w:val="005312B1"/>
    <w:rsid w:val="005344B3"/>
    <w:rsid w:val="00534869"/>
    <w:rsid w:val="00534D4B"/>
    <w:rsid w:val="005371D2"/>
    <w:rsid w:val="0053722B"/>
    <w:rsid w:val="00537528"/>
    <w:rsid w:val="0054034E"/>
    <w:rsid w:val="00542ED7"/>
    <w:rsid w:val="00544B21"/>
    <w:rsid w:val="00545A76"/>
    <w:rsid w:val="005506C7"/>
    <w:rsid w:val="00550E39"/>
    <w:rsid w:val="00550EC5"/>
    <w:rsid w:val="005514AA"/>
    <w:rsid w:val="00553473"/>
    <w:rsid w:val="0055500E"/>
    <w:rsid w:val="005557B3"/>
    <w:rsid w:val="00555A68"/>
    <w:rsid w:val="0055689F"/>
    <w:rsid w:val="00556F21"/>
    <w:rsid w:val="005603EF"/>
    <w:rsid w:val="00561349"/>
    <w:rsid w:val="00562AA1"/>
    <w:rsid w:val="00562B8C"/>
    <w:rsid w:val="00562C69"/>
    <w:rsid w:val="00563198"/>
    <w:rsid w:val="00564098"/>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27CB"/>
    <w:rsid w:val="005940C1"/>
    <w:rsid w:val="0059566C"/>
    <w:rsid w:val="00595711"/>
    <w:rsid w:val="0059585E"/>
    <w:rsid w:val="005A3156"/>
    <w:rsid w:val="005A53DF"/>
    <w:rsid w:val="005A6185"/>
    <w:rsid w:val="005A721D"/>
    <w:rsid w:val="005B052E"/>
    <w:rsid w:val="005B0B2E"/>
    <w:rsid w:val="005B127E"/>
    <w:rsid w:val="005B220B"/>
    <w:rsid w:val="005B2E19"/>
    <w:rsid w:val="005B5956"/>
    <w:rsid w:val="005B66D2"/>
    <w:rsid w:val="005B6E9C"/>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2B1C"/>
    <w:rsid w:val="005E31E8"/>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3E27"/>
    <w:rsid w:val="00614547"/>
    <w:rsid w:val="00614D4B"/>
    <w:rsid w:val="006169DE"/>
    <w:rsid w:val="00616DFB"/>
    <w:rsid w:val="00617630"/>
    <w:rsid w:val="00617B27"/>
    <w:rsid w:val="00620346"/>
    <w:rsid w:val="0062074A"/>
    <w:rsid w:val="00622516"/>
    <w:rsid w:val="00622C68"/>
    <w:rsid w:val="00623125"/>
    <w:rsid w:val="0062321A"/>
    <w:rsid w:val="006238E5"/>
    <w:rsid w:val="006241EE"/>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B06"/>
    <w:rsid w:val="006F3D72"/>
    <w:rsid w:val="006F3FB1"/>
    <w:rsid w:val="006F4B94"/>
    <w:rsid w:val="006F511B"/>
    <w:rsid w:val="006F6130"/>
    <w:rsid w:val="006F6B71"/>
    <w:rsid w:val="006F6C14"/>
    <w:rsid w:val="006F6CFF"/>
    <w:rsid w:val="006F6EB8"/>
    <w:rsid w:val="006F72C3"/>
    <w:rsid w:val="006F72DD"/>
    <w:rsid w:val="00700D15"/>
    <w:rsid w:val="0070393B"/>
    <w:rsid w:val="00704BC7"/>
    <w:rsid w:val="007051AF"/>
    <w:rsid w:val="00705E84"/>
    <w:rsid w:val="00705FA1"/>
    <w:rsid w:val="00707E83"/>
    <w:rsid w:val="007116B3"/>
    <w:rsid w:val="00711E45"/>
    <w:rsid w:val="00711F8D"/>
    <w:rsid w:val="00713731"/>
    <w:rsid w:val="007150F3"/>
    <w:rsid w:val="007165BE"/>
    <w:rsid w:val="007200FA"/>
    <w:rsid w:val="00721635"/>
    <w:rsid w:val="00723530"/>
    <w:rsid w:val="007258A0"/>
    <w:rsid w:val="00725CC4"/>
    <w:rsid w:val="00726958"/>
    <w:rsid w:val="00727D4D"/>
    <w:rsid w:val="00730980"/>
    <w:rsid w:val="00731322"/>
    <w:rsid w:val="007314F6"/>
    <w:rsid w:val="00731E30"/>
    <w:rsid w:val="0073217A"/>
    <w:rsid w:val="00736CDD"/>
    <w:rsid w:val="00736FEF"/>
    <w:rsid w:val="00737516"/>
    <w:rsid w:val="00740CC2"/>
    <w:rsid w:val="00741230"/>
    <w:rsid w:val="00741381"/>
    <w:rsid w:val="0074310F"/>
    <w:rsid w:val="00743261"/>
    <w:rsid w:val="0074502E"/>
    <w:rsid w:val="00745C1D"/>
    <w:rsid w:val="00745DFB"/>
    <w:rsid w:val="007517C3"/>
    <w:rsid w:val="00751F23"/>
    <w:rsid w:val="007566B3"/>
    <w:rsid w:val="007573D2"/>
    <w:rsid w:val="007577AC"/>
    <w:rsid w:val="00760036"/>
    <w:rsid w:val="0076015A"/>
    <w:rsid w:val="00760C49"/>
    <w:rsid w:val="007621D5"/>
    <w:rsid w:val="007626A2"/>
    <w:rsid w:val="007651F0"/>
    <w:rsid w:val="00765D32"/>
    <w:rsid w:val="007705A1"/>
    <w:rsid w:val="00770F43"/>
    <w:rsid w:val="00771468"/>
    <w:rsid w:val="007719AC"/>
    <w:rsid w:val="0077202D"/>
    <w:rsid w:val="00772393"/>
    <w:rsid w:val="00773686"/>
    <w:rsid w:val="00776AD0"/>
    <w:rsid w:val="00777B1B"/>
    <w:rsid w:val="00782F79"/>
    <w:rsid w:val="007832D8"/>
    <w:rsid w:val="0078468E"/>
    <w:rsid w:val="00787A57"/>
    <w:rsid w:val="00787B7D"/>
    <w:rsid w:val="00790647"/>
    <w:rsid w:val="00792D48"/>
    <w:rsid w:val="00793203"/>
    <w:rsid w:val="007943BB"/>
    <w:rsid w:val="00795931"/>
    <w:rsid w:val="00796061"/>
    <w:rsid w:val="00796A2A"/>
    <w:rsid w:val="00796A38"/>
    <w:rsid w:val="00797C01"/>
    <w:rsid w:val="007A0183"/>
    <w:rsid w:val="007A053E"/>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1E4"/>
    <w:rsid w:val="007C44F4"/>
    <w:rsid w:val="007C4841"/>
    <w:rsid w:val="007C5C75"/>
    <w:rsid w:val="007C6BFB"/>
    <w:rsid w:val="007C7AC0"/>
    <w:rsid w:val="007D0E38"/>
    <w:rsid w:val="007D20E7"/>
    <w:rsid w:val="007D2587"/>
    <w:rsid w:val="007D2DC4"/>
    <w:rsid w:val="007D34C8"/>
    <w:rsid w:val="007D36F2"/>
    <w:rsid w:val="007D5A25"/>
    <w:rsid w:val="007D7E16"/>
    <w:rsid w:val="007E0E51"/>
    <w:rsid w:val="007E0F24"/>
    <w:rsid w:val="007E17B1"/>
    <w:rsid w:val="007E27C0"/>
    <w:rsid w:val="007E2F5D"/>
    <w:rsid w:val="007E37AD"/>
    <w:rsid w:val="007E3C82"/>
    <w:rsid w:val="007E4716"/>
    <w:rsid w:val="007E6E32"/>
    <w:rsid w:val="007E7487"/>
    <w:rsid w:val="007E771D"/>
    <w:rsid w:val="007F0F1D"/>
    <w:rsid w:val="007F2356"/>
    <w:rsid w:val="007F3DA7"/>
    <w:rsid w:val="007F3F06"/>
    <w:rsid w:val="007F4203"/>
    <w:rsid w:val="007F4290"/>
    <w:rsid w:val="007F502E"/>
    <w:rsid w:val="007F65F6"/>
    <w:rsid w:val="007F6A42"/>
    <w:rsid w:val="007F7A9A"/>
    <w:rsid w:val="008013CA"/>
    <w:rsid w:val="00802E86"/>
    <w:rsid w:val="008056CF"/>
    <w:rsid w:val="00806C7C"/>
    <w:rsid w:val="0080728E"/>
    <w:rsid w:val="00811CC1"/>
    <w:rsid w:val="00812EF1"/>
    <w:rsid w:val="00814945"/>
    <w:rsid w:val="00814985"/>
    <w:rsid w:val="008155A0"/>
    <w:rsid w:val="008160BF"/>
    <w:rsid w:val="00816F96"/>
    <w:rsid w:val="008175D4"/>
    <w:rsid w:val="0081780C"/>
    <w:rsid w:val="00822C19"/>
    <w:rsid w:val="00823AF8"/>
    <w:rsid w:val="008325F0"/>
    <w:rsid w:val="00832ADC"/>
    <w:rsid w:val="008343F2"/>
    <w:rsid w:val="00835293"/>
    <w:rsid w:val="00835356"/>
    <w:rsid w:val="00836941"/>
    <w:rsid w:val="00836D5A"/>
    <w:rsid w:val="0083795A"/>
    <w:rsid w:val="00837AF5"/>
    <w:rsid w:val="00837C9F"/>
    <w:rsid w:val="008413F0"/>
    <w:rsid w:val="008432EE"/>
    <w:rsid w:val="00843379"/>
    <w:rsid w:val="008436F0"/>
    <w:rsid w:val="00843C74"/>
    <w:rsid w:val="00843DAA"/>
    <w:rsid w:val="00843F40"/>
    <w:rsid w:val="00845019"/>
    <w:rsid w:val="008505B6"/>
    <w:rsid w:val="00850AD1"/>
    <w:rsid w:val="00851421"/>
    <w:rsid w:val="00851A3E"/>
    <w:rsid w:val="00852259"/>
    <w:rsid w:val="008529ED"/>
    <w:rsid w:val="00853419"/>
    <w:rsid w:val="00853E87"/>
    <w:rsid w:val="00855CBD"/>
    <w:rsid w:val="0085646C"/>
    <w:rsid w:val="0085666F"/>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32B"/>
    <w:rsid w:val="00875CB9"/>
    <w:rsid w:val="00875F0E"/>
    <w:rsid w:val="00880F6C"/>
    <w:rsid w:val="00882B6C"/>
    <w:rsid w:val="00883483"/>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64D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D0C"/>
    <w:rsid w:val="00902740"/>
    <w:rsid w:val="00902833"/>
    <w:rsid w:val="00902C4E"/>
    <w:rsid w:val="009032D6"/>
    <w:rsid w:val="009039E2"/>
    <w:rsid w:val="00905B14"/>
    <w:rsid w:val="00905D5B"/>
    <w:rsid w:val="00906BB5"/>
    <w:rsid w:val="0091196A"/>
    <w:rsid w:val="00911DC9"/>
    <w:rsid w:val="009123FF"/>
    <w:rsid w:val="00912682"/>
    <w:rsid w:val="00912D8F"/>
    <w:rsid w:val="009164CD"/>
    <w:rsid w:val="00916B78"/>
    <w:rsid w:val="00916BEB"/>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25EE"/>
    <w:rsid w:val="009647C5"/>
    <w:rsid w:val="0096604F"/>
    <w:rsid w:val="00966280"/>
    <w:rsid w:val="009663C5"/>
    <w:rsid w:val="009700D1"/>
    <w:rsid w:val="009704A1"/>
    <w:rsid w:val="00971DDC"/>
    <w:rsid w:val="0097399E"/>
    <w:rsid w:val="009739F5"/>
    <w:rsid w:val="009750EE"/>
    <w:rsid w:val="009755AD"/>
    <w:rsid w:val="009757E0"/>
    <w:rsid w:val="00976154"/>
    <w:rsid w:val="0097718E"/>
    <w:rsid w:val="009800B6"/>
    <w:rsid w:val="009843F2"/>
    <w:rsid w:val="00985DB7"/>
    <w:rsid w:val="00986B3C"/>
    <w:rsid w:val="00986D44"/>
    <w:rsid w:val="009870D2"/>
    <w:rsid w:val="009903A8"/>
    <w:rsid w:val="009906F9"/>
    <w:rsid w:val="00990D43"/>
    <w:rsid w:val="00991070"/>
    <w:rsid w:val="00991C84"/>
    <w:rsid w:val="00992DCD"/>
    <w:rsid w:val="00994702"/>
    <w:rsid w:val="00996102"/>
    <w:rsid w:val="00996E62"/>
    <w:rsid w:val="00997875"/>
    <w:rsid w:val="00997D39"/>
    <w:rsid w:val="00997FD5"/>
    <w:rsid w:val="009A1CA8"/>
    <w:rsid w:val="009A2CA9"/>
    <w:rsid w:val="009A3428"/>
    <w:rsid w:val="009A35AA"/>
    <w:rsid w:val="009A5082"/>
    <w:rsid w:val="009A618E"/>
    <w:rsid w:val="009B0CBB"/>
    <w:rsid w:val="009B11B9"/>
    <w:rsid w:val="009B155B"/>
    <w:rsid w:val="009B183F"/>
    <w:rsid w:val="009B1F5B"/>
    <w:rsid w:val="009B3BA9"/>
    <w:rsid w:val="009B3DB8"/>
    <w:rsid w:val="009B4769"/>
    <w:rsid w:val="009B796D"/>
    <w:rsid w:val="009C0634"/>
    <w:rsid w:val="009C2086"/>
    <w:rsid w:val="009C3006"/>
    <w:rsid w:val="009C3863"/>
    <w:rsid w:val="009D159F"/>
    <w:rsid w:val="009D1912"/>
    <w:rsid w:val="009D1A92"/>
    <w:rsid w:val="009D2A16"/>
    <w:rsid w:val="009D344B"/>
    <w:rsid w:val="009D6952"/>
    <w:rsid w:val="009D799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1A6"/>
    <w:rsid w:val="00A03D3F"/>
    <w:rsid w:val="00A047F9"/>
    <w:rsid w:val="00A049AC"/>
    <w:rsid w:val="00A04BEB"/>
    <w:rsid w:val="00A04DE2"/>
    <w:rsid w:val="00A07A65"/>
    <w:rsid w:val="00A07E9D"/>
    <w:rsid w:val="00A10748"/>
    <w:rsid w:val="00A1110B"/>
    <w:rsid w:val="00A11A20"/>
    <w:rsid w:val="00A11C66"/>
    <w:rsid w:val="00A11DFB"/>
    <w:rsid w:val="00A11F1E"/>
    <w:rsid w:val="00A12DEC"/>
    <w:rsid w:val="00A13EEF"/>
    <w:rsid w:val="00A14BA5"/>
    <w:rsid w:val="00A15C80"/>
    <w:rsid w:val="00A15DA4"/>
    <w:rsid w:val="00A20607"/>
    <w:rsid w:val="00A20D0F"/>
    <w:rsid w:val="00A22250"/>
    <w:rsid w:val="00A2486B"/>
    <w:rsid w:val="00A25160"/>
    <w:rsid w:val="00A25C1B"/>
    <w:rsid w:val="00A26916"/>
    <w:rsid w:val="00A2769F"/>
    <w:rsid w:val="00A27E3C"/>
    <w:rsid w:val="00A27E76"/>
    <w:rsid w:val="00A27E8B"/>
    <w:rsid w:val="00A3131D"/>
    <w:rsid w:val="00A3149C"/>
    <w:rsid w:val="00A31A13"/>
    <w:rsid w:val="00A323D7"/>
    <w:rsid w:val="00A32701"/>
    <w:rsid w:val="00A330EB"/>
    <w:rsid w:val="00A334CC"/>
    <w:rsid w:val="00A34417"/>
    <w:rsid w:val="00A421DA"/>
    <w:rsid w:val="00A44BE1"/>
    <w:rsid w:val="00A4500D"/>
    <w:rsid w:val="00A4664E"/>
    <w:rsid w:val="00A473D6"/>
    <w:rsid w:val="00A477D2"/>
    <w:rsid w:val="00A51EEE"/>
    <w:rsid w:val="00A53C99"/>
    <w:rsid w:val="00A542B8"/>
    <w:rsid w:val="00A54719"/>
    <w:rsid w:val="00A602F2"/>
    <w:rsid w:val="00A60995"/>
    <w:rsid w:val="00A612B9"/>
    <w:rsid w:val="00A6549F"/>
    <w:rsid w:val="00A66B14"/>
    <w:rsid w:val="00A66CF8"/>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461D"/>
    <w:rsid w:val="00AA508F"/>
    <w:rsid w:val="00AA54B9"/>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60CF"/>
    <w:rsid w:val="00AC60FB"/>
    <w:rsid w:val="00AC6FCD"/>
    <w:rsid w:val="00AD021E"/>
    <w:rsid w:val="00AD048E"/>
    <w:rsid w:val="00AD0CA9"/>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AF7F28"/>
    <w:rsid w:val="00B002E0"/>
    <w:rsid w:val="00B0053F"/>
    <w:rsid w:val="00B0132A"/>
    <w:rsid w:val="00B029C1"/>
    <w:rsid w:val="00B02F73"/>
    <w:rsid w:val="00B042F9"/>
    <w:rsid w:val="00B06F7B"/>
    <w:rsid w:val="00B07968"/>
    <w:rsid w:val="00B07B19"/>
    <w:rsid w:val="00B10FBA"/>
    <w:rsid w:val="00B12666"/>
    <w:rsid w:val="00B126DA"/>
    <w:rsid w:val="00B14DB6"/>
    <w:rsid w:val="00B1531E"/>
    <w:rsid w:val="00B15903"/>
    <w:rsid w:val="00B166C8"/>
    <w:rsid w:val="00B230AB"/>
    <w:rsid w:val="00B23604"/>
    <w:rsid w:val="00B236B2"/>
    <w:rsid w:val="00B2566A"/>
    <w:rsid w:val="00B26E87"/>
    <w:rsid w:val="00B303B4"/>
    <w:rsid w:val="00B30EB8"/>
    <w:rsid w:val="00B3226F"/>
    <w:rsid w:val="00B35581"/>
    <w:rsid w:val="00B41694"/>
    <w:rsid w:val="00B425D5"/>
    <w:rsid w:val="00B427B9"/>
    <w:rsid w:val="00B42928"/>
    <w:rsid w:val="00B43371"/>
    <w:rsid w:val="00B43C4A"/>
    <w:rsid w:val="00B44CA2"/>
    <w:rsid w:val="00B454AE"/>
    <w:rsid w:val="00B45CC4"/>
    <w:rsid w:val="00B47CA1"/>
    <w:rsid w:val="00B52464"/>
    <w:rsid w:val="00B55453"/>
    <w:rsid w:val="00B55CF3"/>
    <w:rsid w:val="00B57332"/>
    <w:rsid w:val="00B57CCE"/>
    <w:rsid w:val="00B63F38"/>
    <w:rsid w:val="00B65685"/>
    <w:rsid w:val="00B66B7C"/>
    <w:rsid w:val="00B670CE"/>
    <w:rsid w:val="00B67B79"/>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0B7"/>
    <w:rsid w:val="00BA4762"/>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E17A6"/>
    <w:rsid w:val="00BE1E03"/>
    <w:rsid w:val="00BE2902"/>
    <w:rsid w:val="00BE42CB"/>
    <w:rsid w:val="00BE6162"/>
    <w:rsid w:val="00BE6C9C"/>
    <w:rsid w:val="00BE751E"/>
    <w:rsid w:val="00BF37B7"/>
    <w:rsid w:val="00BF3B86"/>
    <w:rsid w:val="00BF438B"/>
    <w:rsid w:val="00BF5C82"/>
    <w:rsid w:val="00BF77C4"/>
    <w:rsid w:val="00BF7A5E"/>
    <w:rsid w:val="00C0085D"/>
    <w:rsid w:val="00C00E47"/>
    <w:rsid w:val="00C010AA"/>
    <w:rsid w:val="00C013EF"/>
    <w:rsid w:val="00C03B47"/>
    <w:rsid w:val="00C04F9C"/>
    <w:rsid w:val="00C05DF0"/>
    <w:rsid w:val="00C07BA6"/>
    <w:rsid w:val="00C11D21"/>
    <w:rsid w:val="00C11EFC"/>
    <w:rsid w:val="00C13462"/>
    <w:rsid w:val="00C1675F"/>
    <w:rsid w:val="00C16C29"/>
    <w:rsid w:val="00C21792"/>
    <w:rsid w:val="00C21F2D"/>
    <w:rsid w:val="00C22DD1"/>
    <w:rsid w:val="00C23438"/>
    <w:rsid w:val="00C23439"/>
    <w:rsid w:val="00C24BB6"/>
    <w:rsid w:val="00C25F81"/>
    <w:rsid w:val="00C268BB"/>
    <w:rsid w:val="00C27213"/>
    <w:rsid w:val="00C278C2"/>
    <w:rsid w:val="00C31374"/>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D1094"/>
    <w:rsid w:val="00CD1B67"/>
    <w:rsid w:val="00CD229F"/>
    <w:rsid w:val="00CD4248"/>
    <w:rsid w:val="00CE2D1F"/>
    <w:rsid w:val="00CE31E0"/>
    <w:rsid w:val="00CE444E"/>
    <w:rsid w:val="00CE4945"/>
    <w:rsid w:val="00CE52F0"/>
    <w:rsid w:val="00CE6F1A"/>
    <w:rsid w:val="00CE79A2"/>
    <w:rsid w:val="00CF18A3"/>
    <w:rsid w:val="00CF356A"/>
    <w:rsid w:val="00CF3A0A"/>
    <w:rsid w:val="00CF3DA6"/>
    <w:rsid w:val="00CF4A61"/>
    <w:rsid w:val="00CF6809"/>
    <w:rsid w:val="00CF760D"/>
    <w:rsid w:val="00D01778"/>
    <w:rsid w:val="00D01A38"/>
    <w:rsid w:val="00D029CB"/>
    <w:rsid w:val="00D034E8"/>
    <w:rsid w:val="00D04274"/>
    <w:rsid w:val="00D05A8B"/>
    <w:rsid w:val="00D06659"/>
    <w:rsid w:val="00D0699D"/>
    <w:rsid w:val="00D122E3"/>
    <w:rsid w:val="00D1323D"/>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40012"/>
    <w:rsid w:val="00D40E89"/>
    <w:rsid w:val="00D41A51"/>
    <w:rsid w:val="00D42DFD"/>
    <w:rsid w:val="00D45BB6"/>
    <w:rsid w:val="00D45E14"/>
    <w:rsid w:val="00D4755C"/>
    <w:rsid w:val="00D47707"/>
    <w:rsid w:val="00D47AA1"/>
    <w:rsid w:val="00D50136"/>
    <w:rsid w:val="00D52520"/>
    <w:rsid w:val="00D52834"/>
    <w:rsid w:val="00D544FE"/>
    <w:rsid w:val="00D5505A"/>
    <w:rsid w:val="00D5596F"/>
    <w:rsid w:val="00D567EE"/>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D2E"/>
    <w:rsid w:val="00D766D5"/>
    <w:rsid w:val="00D806A3"/>
    <w:rsid w:val="00D81232"/>
    <w:rsid w:val="00D81BAC"/>
    <w:rsid w:val="00D83149"/>
    <w:rsid w:val="00D83173"/>
    <w:rsid w:val="00D8380A"/>
    <w:rsid w:val="00D85273"/>
    <w:rsid w:val="00D87482"/>
    <w:rsid w:val="00D90CC5"/>
    <w:rsid w:val="00D92C6A"/>
    <w:rsid w:val="00D963A6"/>
    <w:rsid w:val="00DA12AB"/>
    <w:rsid w:val="00DA1C49"/>
    <w:rsid w:val="00DA6E0F"/>
    <w:rsid w:val="00DB1462"/>
    <w:rsid w:val="00DB3689"/>
    <w:rsid w:val="00DB3767"/>
    <w:rsid w:val="00DB39E0"/>
    <w:rsid w:val="00DB70B4"/>
    <w:rsid w:val="00DC181B"/>
    <w:rsid w:val="00DC1B28"/>
    <w:rsid w:val="00DC22BE"/>
    <w:rsid w:val="00DC34E6"/>
    <w:rsid w:val="00DC5F62"/>
    <w:rsid w:val="00DC6AD9"/>
    <w:rsid w:val="00DC6B68"/>
    <w:rsid w:val="00DC7FAF"/>
    <w:rsid w:val="00DD02BA"/>
    <w:rsid w:val="00DD100B"/>
    <w:rsid w:val="00DD36C3"/>
    <w:rsid w:val="00DD42F9"/>
    <w:rsid w:val="00DD6A69"/>
    <w:rsid w:val="00DE1B4A"/>
    <w:rsid w:val="00DE2611"/>
    <w:rsid w:val="00DE2CFF"/>
    <w:rsid w:val="00DE3330"/>
    <w:rsid w:val="00DE5939"/>
    <w:rsid w:val="00DE5AEE"/>
    <w:rsid w:val="00DE7746"/>
    <w:rsid w:val="00DE7AA4"/>
    <w:rsid w:val="00DF11E4"/>
    <w:rsid w:val="00DF1C50"/>
    <w:rsid w:val="00DF4490"/>
    <w:rsid w:val="00DF4CBC"/>
    <w:rsid w:val="00DF5370"/>
    <w:rsid w:val="00DF752A"/>
    <w:rsid w:val="00DF782E"/>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E86"/>
    <w:rsid w:val="00E661D6"/>
    <w:rsid w:val="00E6663D"/>
    <w:rsid w:val="00E71B00"/>
    <w:rsid w:val="00E733FF"/>
    <w:rsid w:val="00E73C7F"/>
    <w:rsid w:val="00E740D9"/>
    <w:rsid w:val="00E76862"/>
    <w:rsid w:val="00E8224F"/>
    <w:rsid w:val="00E83BFC"/>
    <w:rsid w:val="00E84692"/>
    <w:rsid w:val="00E84970"/>
    <w:rsid w:val="00E853FB"/>
    <w:rsid w:val="00E85E3C"/>
    <w:rsid w:val="00E86082"/>
    <w:rsid w:val="00E87574"/>
    <w:rsid w:val="00E9071B"/>
    <w:rsid w:val="00E943EE"/>
    <w:rsid w:val="00E94A9D"/>
    <w:rsid w:val="00E96534"/>
    <w:rsid w:val="00E96D38"/>
    <w:rsid w:val="00E9760C"/>
    <w:rsid w:val="00EA0385"/>
    <w:rsid w:val="00EA3791"/>
    <w:rsid w:val="00EA4173"/>
    <w:rsid w:val="00EA4D0C"/>
    <w:rsid w:val="00EA4E53"/>
    <w:rsid w:val="00EA6259"/>
    <w:rsid w:val="00EA63A0"/>
    <w:rsid w:val="00EA6815"/>
    <w:rsid w:val="00EA7720"/>
    <w:rsid w:val="00EA7F21"/>
    <w:rsid w:val="00EB1663"/>
    <w:rsid w:val="00EB1947"/>
    <w:rsid w:val="00EB1A48"/>
    <w:rsid w:val="00EB1DF8"/>
    <w:rsid w:val="00EB4324"/>
    <w:rsid w:val="00EB5DAB"/>
    <w:rsid w:val="00EB6B41"/>
    <w:rsid w:val="00EB7014"/>
    <w:rsid w:val="00EC0950"/>
    <w:rsid w:val="00EC1D1E"/>
    <w:rsid w:val="00EC1D63"/>
    <w:rsid w:val="00EC3A1D"/>
    <w:rsid w:val="00EC3E43"/>
    <w:rsid w:val="00EC465B"/>
    <w:rsid w:val="00EC5A04"/>
    <w:rsid w:val="00EC5B82"/>
    <w:rsid w:val="00EC621C"/>
    <w:rsid w:val="00EC7245"/>
    <w:rsid w:val="00EC7D8F"/>
    <w:rsid w:val="00EC7E1A"/>
    <w:rsid w:val="00ED03D0"/>
    <w:rsid w:val="00ED09F7"/>
    <w:rsid w:val="00ED0F55"/>
    <w:rsid w:val="00ED23E6"/>
    <w:rsid w:val="00ED5032"/>
    <w:rsid w:val="00ED5270"/>
    <w:rsid w:val="00ED6649"/>
    <w:rsid w:val="00ED7856"/>
    <w:rsid w:val="00ED792B"/>
    <w:rsid w:val="00ED7DC2"/>
    <w:rsid w:val="00EE04F3"/>
    <w:rsid w:val="00EE5769"/>
    <w:rsid w:val="00EE5CA6"/>
    <w:rsid w:val="00EE6916"/>
    <w:rsid w:val="00EE6B6E"/>
    <w:rsid w:val="00EF1335"/>
    <w:rsid w:val="00EF1467"/>
    <w:rsid w:val="00EF1557"/>
    <w:rsid w:val="00EF19FD"/>
    <w:rsid w:val="00EF1D24"/>
    <w:rsid w:val="00EF2DB0"/>
    <w:rsid w:val="00EF4836"/>
    <w:rsid w:val="00EF4AE0"/>
    <w:rsid w:val="00EF6FA1"/>
    <w:rsid w:val="00EF7A4A"/>
    <w:rsid w:val="00F012FF"/>
    <w:rsid w:val="00F01A21"/>
    <w:rsid w:val="00F02C47"/>
    <w:rsid w:val="00F046E9"/>
    <w:rsid w:val="00F04831"/>
    <w:rsid w:val="00F06E0E"/>
    <w:rsid w:val="00F07AA2"/>
    <w:rsid w:val="00F108F2"/>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962"/>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8721E"/>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407F"/>
    <w:rsid w:val="00FC6E54"/>
    <w:rsid w:val="00FD33A2"/>
    <w:rsid w:val="00FD3934"/>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92B175-C77B-4CDB-A3E1-E7A54DC4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5692</TotalTime>
  <Pages>5</Pages>
  <Words>1688</Words>
  <Characters>9627</Characters>
  <Application>Microsoft Office Word</Application>
  <DocSecurity>0</DocSecurity>
  <Lines>80</Lines>
  <Paragraphs>22</Paragraphs>
  <ScaleCrop>false</ScaleCrop>
  <Company>ZTE</Company>
  <LinksUpToDate>false</LinksUpToDate>
  <CharactersWithSpaces>11293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508</cp:revision>
  <cp:lastPrinted>2113-01-01T00:00:00Z</cp:lastPrinted>
  <dcterms:created xsi:type="dcterms:W3CDTF">2017-09-06T12:59:00Z</dcterms:created>
  <dcterms:modified xsi:type="dcterms:W3CDTF">2020-10-23T06:14:00Z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